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21D0A">
      <w:pPr>
        <w:spacing w:after="156" w:line="560" w:lineRule="exact"/>
        <w:textAlignment w:val="baseline"/>
        <w:rPr>
          <w:rStyle w:val="7"/>
          <w:rFonts w:ascii="方正小标宋简体" w:hAnsi="宋体" w:eastAsia="方正小标宋简体" w:cs="Times New Roman"/>
          <w:bCs/>
          <w:sz w:val="44"/>
          <w:szCs w:val="44"/>
        </w:rPr>
      </w:pPr>
      <w:bookmarkStart w:id="1" w:name="_GoBack"/>
      <w:bookmarkEnd w:id="1"/>
    </w:p>
    <w:p w14:paraId="49585A31">
      <w:pPr>
        <w:spacing w:after="156" w:line="560" w:lineRule="exact"/>
        <w:jc w:val="center"/>
        <w:textAlignment w:val="baseline"/>
        <w:rPr>
          <w:rStyle w:val="7"/>
          <w:rFonts w:ascii="方正小标宋简体" w:hAnsi="宋体" w:eastAsia="方正小标宋简体" w:cs="Times New Roman"/>
          <w:bCs/>
          <w:sz w:val="44"/>
          <w:szCs w:val="44"/>
        </w:rPr>
      </w:pPr>
    </w:p>
    <w:p w14:paraId="69871819">
      <w:pPr>
        <w:snapToGrid w:val="0"/>
        <w:spacing w:line="300" w:lineRule="auto"/>
        <w:jc w:val="center"/>
        <w:textAlignment w:val="baseline"/>
        <w:rPr>
          <w:rStyle w:val="7"/>
          <w:rFonts w:ascii="Times New Roman" w:hAnsi="Times New Roman" w:eastAsia="宋体"/>
          <w:b/>
          <w:spacing w:val="-10"/>
          <w:sz w:val="44"/>
          <w:szCs w:val="32"/>
        </w:rPr>
      </w:pPr>
      <w:r>
        <w:rPr>
          <w:rStyle w:val="7"/>
          <w:rFonts w:hint="eastAsia" w:ascii="Times New Roman" w:hAnsi="Times New Roman" w:eastAsia="宋体"/>
          <w:b/>
          <w:spacing w:val="-10"/>
          <w:sz w:val="44"/>
          <w:szCs w:val="32"/>
        </w:rPr>
        <w:t>音乐与舞蹈学学位授权点建设年度报告</w:t>
      </w:r>
    </w:p>
    <w:p w14:paraId="1AFF5FB0">
      <w:pPr>
        <w:snapToGrid w:val="0"/>
        <w:spacing w:line="300" w:lineRule="auto"/>
        <w:jc w:val="center"/>
        <w:textAlignment w:val="baseline"/>
        <w:rPr>
          <w:rStyle w:val="7"/>
          <w:rFonts w:ascii="Times New Roman" w:hAnsi="Times New Roman" w:eastAsia="宋体"/>
          <w:b/>
          <w:spacing w:val="-10"/>
          <w:sz w:val="44"/>
          <w:szCs w:val="32"/>
        </w:rPr>
      </w:pPr>
      <w:r>
        <w:rPr>
          <w:rStyle w:val="7"/>
          <w:rFonts w:hint="eastAsia" w:ascii="Times New Roman" w:hAnsi="Times New Roman" w:eastAsia="宋体"/>
          <w:b/>
          <w:spacing w:val="-10"/>
          <w:sz w:val="44"/>
          <w:szCs w:val="32"/>
        </w:rPr>
        <w:t>（2</w:t>
      </w:r>
      <w:r>
        <w:rPr>
          <w:rStyle w:val="7"/>
          <w:rFonts w:ascii="Times New Roman" w:hAnsi="Times New Roman" w:eastAsia="宋体"/>
          <w:b/>
          <w:spacing w:val="-10"/>
          <w:sz w:val="44"/>
          <w:szCs w:val="32"/>
        </w:rPr>
        <w:t>02</w:t>
      </w:r>
      <w:r>
        <w:rPr>
          <w:rStyle w:val="7"/>
          <w:rFonts w:hint="eastAsia" w:ascii="Times New Roman" w:hAnsi="Times New Roman" w:eastAsia="宋体"/>
          <w:b/>
          <w:spacing w:val="-10"/>
          <w:sz w:val="44"/>
          <w:szCs w:val="32"/>
        </w:rPr>
        <w:t>3年）</w:t>
      </w:r>
    </w:p>
    <w:p w14:paraId="58F20995">
      <w:pPr>
        <w:snapToGrid w:val="0"/>
        <w:textAlignment w:val="baseline"/>
        <w:rPr>
          <w:rStyle w:val="7"/>
          <w:rFonts w:ascii="Times New Roman" w:hAnsi="Times New Roman" w:eastAsia="宋体"/>
          <w:b/>
          <w:sz w:val="48"/>
          <w:szCs w:val="20"/>
        </w:rPr>
      </w:pPr>
    </w:p>
    <w:p w14:paraId="3691C403">
      <w:pPr>
        <w:snapToGrid w:val="0"/>
        <w:textAlignment w:val="baseline"/>
        <w:rPr>
          <w:rStyle w:val="7"/>
          <w:rFonts w:ascii="Times New Roman" w:hAnsi="Times New Roman" w:eastAsia="宋体"/>
          <w:b/>
          <w:sz w:val="48"/>
          <w:szCs w:val="20"/>
        </w:rPr>
      </w:pPr>
    </w:p>
    <w:p w14:paraId="49E2FB5C">
      <w:pPr>
        <w:snapToGrid w:val="0"/>
        <w:spacing w:line="300" w:lineRule="auto"/>
        <w:jc w:val="center"/>
        <w:textAlignment w:val="baseline"/>
        <w:rPr>
          <w:rStyle w:val="7"/>
          <w:rFonts w:ascii="Times New Roman" w:hAnsi="Times New Roman" w:eastAsia="宋体"/>
          <w:b/>
          <w:szCs w:val="32"/>
        </w:rPr>
      </w:pPr>
    </w:p>
    <w:tbl>
      <w:tblPr>
        <w:tblStyle w:val="4"/>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14:paraId="4F678FDD">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bottom w:val="single" w:color="000000" w:sz="4" w:space="0"/>
              <w:right w:val="single" w:color="000000" w:sz="4" w:space="0"/>
            </w:tcBorders>
            <w:vAlign w:val="center"/>
          </w:tcPr>
          <w:p w14:paraId="79A51264">
            <w:pPr>
              <w:snapToGrid w:val="0"/>
              <w:spacing w:line="240" w:lineRule="atLeast"/>
              <w:jc w:val="center"/>
              <w:textAlignment w:val="baseline"/>
              <w:rPr>
                <w:rStyle w:val="7"/>
                <w:rFonts w:ascii="Times New Roman" w:hAnsi="Times New Roman" w:eastAsia="宋体"/>
                <w:b/>
                <w:spacing w:val="-10"/>
                <w:szCs w:val="32"/>
              </w:rPr>
            </w:pPr>
            <w:r>
              <w:rPr>
                <w:rStyle w:val="7"/>
                <w:rFonts w:hint="eastAsia" w:ascii="Times New Roman" w:hAnsi="Times New Roman" w:eastAsia="宋体"/>
                <w:b/>
                <w:spacing w:val="-10"/>
                <w:szCs w:val="32"/>
              </w:rPr>
              <w:t>学科授予单位</w:t>
            </w:r>
          </w:p>
        </w:tc>
        <w:tc>
          <w:tcPr>
            <w:tcW w:w="3977" w:type="dxa"/>
            <w:tcBorders>
              <w:top w:val="nil"/>
              <w:left w:val="single" w:color="000000" w:sz="4" w:space="0"/>
              <w:bottom w:val="single" w:color="000000" w:sz="4" w:space="0"/>
              <w:right w:val="nil"/>
            </w:tcBorders>
            <w:vAlign w:val="center"/>
          </w:tcPr>
          <w:p w14:paraId="02A66C19">
            <w:pPr>
              <w:snapToGrid w:val="0"/>
              <w:spacing w:line="300" w:lineRule="auto"/>
              <w:textAlignment w:val="baseline"/>
              <w:rPr>
                <w:rStyle w:val="7"/>
                <w:rFonts w:ascii="Times New Roman" w:hAnsi="Times New Roman" w:eastAsia="宋体"/>
                <w:b/>
                <w:spacing w:val="-10"/>
                <w:szCs w:val="32"/>
              </w:rPr>
            </w:pPr>
            <w:r>
              <w:rPr>
                <w:rStyle w:val="7"/>
                <w:rFonts w:hint="eastAsia" w:ascii="Times New Roman" w:hAnsi="Times New Roman" w:eastAsia="宋体"/>
                <w:b/>
                <w:spacing w:val="-10"/>
                <w:szCs w:val="32"/>
              </w:rPr>
              <w:t>全称</w:t>
            </w:r>
            <w:r>
              <w:rPr>
                <w:rStyle w:val="7"/>
                <w:rFonts w:ascii="Times New Roman" w:hAnsi="Times New Roman" w:eastAsia="宋体"/>
                <w:b/>
                <w:spacing w:val="-10"/>
                <w:szCs w:val="32"/>
              </w:rPr>
              <w:t>：</w:t>
            </w:r>
            <w:r>
              <w:rPr>
                <w:rStyle w:val="7"/>
                <w:rFonts w:hint="eastAsia" w:ascii="Times New Roman" w:hAnsi="Times New Roman" w:eastAsia="宋体"/>
                <w:b/>
                <w:spacing w:val="-10"/>
                <w:szCs w:val="32"/>
              </w:rPr>
              <w:t>上海音乐学院</w:t>
            </w:r>
          </w:p>
        </w:tc>
      </w:tr>
      <w:tr w14:paraId="7885339A">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top w:val="single" w:color="000000" w:sz="4" w:space="0"/>
              <w:left w:val="nil"/>
              <w:bottom w:val="nil"/>
              <w:right w:val="single" w:color="000000" w:sz="4" w:space="0"/>
            </w:tcBorders>
            <w:vAlign w:val="center"/>
          </w:tcPr>
          <w:p w14:paraId="01513369">
            <w:pPr>
              <w:snapToGrid w:val="0"/>
              <w:spacing w:line="300" w:lineRule="auto"/>
              <w:jc w:val="center"/>
              <w:textAlignment w:val="baseline"/>
              <w:rPr>
                <w:rStyle w:val="7"/>
                <w:rFonts w:ascii="Times New Roman" w:hAnsi="Times New Roman" w:eastAsia="宋体"/>
                <w:b/>
                <w:spacing w:val="-10"/>
                <w:szCs w:val="32"/>
              </w:rPr>
            </w:pPr>
          </w:p>
        </w:tc>
        <w:tc>
          <w:tcPr>
            <w:tcW w:w="3977" w:type="dxa"/>
            <w:tcBorders>
              <w:top w:val="single" w:color="000000" w:sz="4" w:space="0"/>
              <w:left w:val="single" w:color="000000" w:sz="4" w:space="0"/>
              <w:bottom w:val="nil"/>
              <w:right w:val="nil"/>
            </w:tcBorders>
            <w:vAlign w:val="center"/>
          </w:tcPr>
          <w:p w14:paraId="51B334B1">
            <w:pPr>
              <w:snapToGrid w:val="0"/>
              <w:spacing w:line="300" w:lineRule="auto"/>
              <w:textAlignment w:val="baseline"/>
              <w:rPr>
                <w:rStyle w:val="7"/>
                <w:rFonts w:ascii="Times New Roman" w:hAnsi="Times New Roman" w:eastAsia="宋体"/>
                <w:b/>
                <w:spacing w:val="-10"/>
                <w:szCs w:val="32"/>
              </w:rPr>
            </w:pPr>
            <w:r>
              <w:rPr>
                <w:rStyle w:val="7"/>
                <w:rFonts w:ascii="Times New Roman" w:hAnsi="Times New Roman" w:eastAsia="宋体"/>
                <w:b/>
                <w:spacing w:val="-10"/>
                <w:szCs w:val="32"/>
              </w:rPr>
              <w:t>代码：</w:t>
            </w:r>
            <w:r>
              <w:rPr>
                <w:rStyle w:val="7"/>
                <w:rFonts w:hint="eastAsia" w:ascii="Times New Roman" w:hAnsi="Times New Roman" w:eastAsia="宋体"/>
                <w:b/>
                <w:spacing w:val="-10"/>
                <w:szCs w:val="32"/>
              </w:rPr>
              <w:t>1</w:t>
            </w:r>
            <w:r>
              <w:rPr>
                <w:rStyle w:val="7"/>
                <w:rFonts w:ascii="Times New Roman" w:hAnsi="Times New Roman" w:eastAsia="宋体"/>
                <w:b/>
                <w:spacing w:val="-10"/>
                <w:szCs w:val="32"/>
              </w:rPr>
              <w:t>0278</w:t>
            </w:r>
          </w:p>
        </w:tc>
      </w:tr>
    </w:tbl>
    <w:p w14:paraId="12363D45">
      <w:pPr>
        <w:snapToGrid w:val="0"/>
        <w:spacing w:line="300" w:lineRule="auto"/>
        <w:jc w:val="center"/>
        <w:textAlignment w:val="baseline"/>
        <w:rPr>
          <w:rStyle w:val="7"/>
          <w:rFonts w:ascii="Times New Roman" w:hAnsi="Times New Roman" w:eastAsia="宋体"/>
          <w:b/>
          <w:sz w:val="48"/>
          <w:szCs w:val="20"/>
        </w:rPr>
      </w:pPr>
    </w:p>
    <w:tbl>
      <w:tblPr>
        <w:tblStyle w:val="4"/>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14:paraId="21BF3500">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bottom w:val="single" w:color="000000" w:sz="4" w:space="0"/>
              <w:right w:val="single" w:color="000000" w:sz="4" w:space="0"/>
            </w:tcBorders>
            <w:vAlign w:val="center"/>
          </w:tcPr>
          <w:p w14:paraId="77C45D4A">
            <w:pPr>
              <w:snapToGrid w:val="0"/>
              <w:spacing w:line="240" w:lineRule="atLeast"/>
              <w:jc w:val="center"/>
              <w:textAlignment w:val="baseline"/>
              <w:rPr>
                <w:rStyle w:val="7"/>
                <w:rFonts w:ascii="Times New Roman" w:hAnsi="Times New Roman" w:eastAsia="宋体"/>
                <w:b/>
                <w:spacing w:val="-10"/>
                <w:szCs w:val="32"/>
              </w:rPr>
            </w:pPr>
            <w:r>
              <w:rPr>
                <w:rStyle w:val="7"/>
                <w:rFonts w:hint="eastAsia" w:ascii="Times New Roman" w:hAnsi="Times New Roman" w:eastAsia="宋体"/>
                <w:b/>
                <w:spacing w:val="-10"/>
                <w:szCs w:val="32"/>
              </w:rPr>
              <w:t>授权学科</w:t>
            </w:r>
          </w:p>
        </w:tc>
        <w:tc>
          <w:tcPr>
            <w:tcW w:w="3977" w:type="dxa"/>
            <w:tcBorders>
              <w:top w:val="nil"/>
              <w:left w:val="single" w:color="000000" w:sz="4" w:space="0"/>
              <w:bottom w:val="single" w:color="000000" w:sz="4" w:space="0"/>
              <w:right w:val="nil"/>
            </w:tcBorders>
            <w:vAlign w:val="center"/>
          </w:tcPr>
          <w:p w14:paraId="05C3777D">
            <w:pPr>
              <w:snapToGrid w:val="0"/>
              <w:spacing w:line="300" w:lineRule="auto"/>
              <w:textAlignment w:val="baseline"/>
              <w:rPr>
                <w:rStyle w:val="7"/>
                <w:rFonts w:ascii="Times New Roman" w:hAnsi="Times New Roman" w:eastAsia="宋体"/>
                <w:b/>
                <w:spacing w:val="-10"/>
                <w:szCs w:val="32"/>
              </w:rPr>
            </w:pPr>
            <w:r>
              <w:rPr>
                <w:rStyle w:val="7"/>
                <w:rFonts w:ascii="Times New Roman" w:hAnsi="Times New Roman" w:eastAsia="宋体"/>
                <w:b/>
                <w:spacing w:val="-10"/>
                <w:szCs w:val="32"/>
              </w:rPr>
              <w:t>名称：</w:t>
            </w:r>
            <w:r>
              <w:rPr>
                <w:rStyle w:val="7"/>
                <w:rFonts w:hint="eastAsia" w:ascii="Times New Roman" w:hAnsi="Times New Roman" w:eastAsia="宋体"/>
                <w:b/>
                <w:spacing w:val="-10"/>
                <w:szCs w:val="32"/>
              </w:rPr>
              <w:t>音乐与舞蹈学</w:t>
            </w:r>
          </w:p>
        </w:tc>
      </w:tr>
      <w:tr w14:paraId="35DCF0CE">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top w:val="single" w:color="000000" w:sz="4" w:space="0"/>
              <w:left w:val="nil"/>
              <w:bottom w:val="nil"/>
              <w:right w:val="single" w:color="000000" w:sz="4" w:space="0"/>
            </w:tcBorders>
            <w:vAlign w:val="center"/>
          </w:tcPr>
          <w:p w14:paraId="3CA5F6BB">
            <w:pPr>
              <w:snapToGrid w:val="0"/>
              <w:spacing w:line="300" w:lineRule="auto"/>
              <w:jc w:val="center"/>
              <w:textAlignment w:val="baseline"/>
              <w:rPr>
                <w:rStyle w:val="7"/>
                <w:rFonts w:ascii="Times New Roman" w:hAnsi="Times New Roman" w:eastAsia="宋体"/>
                <w:b/>
                <w:spacing w:val="-10"/>
                <w:szCs w:val="32"/>
              </w:rPr>
            </w:pPr>
          </w:p>
        </w:tc>
        <w:tc>
          <w:tcPr>
            <w:tcW w:w="3977" w:type="dxa"/>
            <w:tcBorders>
              <w:top w:val="single" w:color="000000" w:sz="4" w:space="0"/>
              <w:left w:val="single" w:color="000000" w:sz="4" w:space="0"/>
              <w:bottom w:val="nil"/>
              <w:right w:val="nil"/>
            </w:tcBorders>
            <w:vAlign w:val="center"/>
          </w:tcPr>
          <w:p w14:paraId="6C57E710">
            <w:pPr>
              <w:snapToGrid w:val="0"/>
              <w:spacing w:line="300" w:lineRule="auto"/>
              <w:textAlignment w:val="baseline"/>
              <w:rPr>
                <w:rStyle w:val="7"/>
                <w:rFonts w:ascii="Times New Roman" w:hAnsi="Times New Roman" w:eastAsia="宋体"/>
                <w:b/>
                <w:spacing w:val="-10"/>
                <w:szCs w:val="32"/>
              </w:rPr>
            </w:pPr>
            <w:r>
              <w:rPr>
                <w:rStyle w:val="7"/>
                <w:rFonts w:ascii="Times New Roman" w:hAnsi="Times New Roman" w:eastAsia="宋体"/>
                <w:b/>
                <w:spacing w:val="-10"/>
                <w:szCs w:val="32"/>
              </w:rPr>
              <w:t>代码：1302</w:t>
            </w:r>
          </w:p>
        </w:tc>
      </w:tr>
    </w:tbl>
    <w:p w14:paraId="63F359DC">
      <w:pPr>
        <w:spacing w:line="560" w:lineRule="exact"/>
        <w:jc w:val="center"/>
        <w:textAlignment w:val="baseline"/>
        <w:rPr>
          <w:rStyle w:val="7"/>
          <w:rFonts w:ascii="Times New Roman" w:hAnsi="Times New Roman" w:eastAsia="楷体_GB2312"/>
          <w:b/>
          <w:sz w:val="30"/>
          <w:szCs w:val="30"/>
        </w:rPr>
      </w:pPr>
    </w:p>
    <w:tbl>
      <w:tblPr>
        <w:tblStyle w:val="4"/>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14:paraId="622F050C">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PrEx>
        <w:trPr>
          <w:trHeight w:val="794" w:hRule="atLeast"/>
          <w:jc w:val="center"/>
        </w:trPr>
        <w:tc>
          <w:tcPr>
            <w:tcW w:w="1507" w:type="dxa"/>
            <w:vMerge w:val="restart"/>
            <w:tcBorders>
              <w:top w:val="nil"/>
              <w:left w:val="nil"/>
              <w:bottom w:val="single" w:color="000000" w:sz="4" w:space="0"/>
              <w:right w:val="single" w:color="000000" w:sz="4" w:space="0"/>
            </w:tcBorders>
            <w:vAlign w:val="center"/>
          </w:tcPr>
          <w:p w14:paraId="62EB1D0D">
            <w:pPr>
              <w:snapToGrid w:val="0"/>
              <w:spacing w:line="240" w:lineRule="atLeast"/>
              <w:jc w:val="center"/>
              <w:textAlignment w:val="baseline"/>
              <w:rPr>
                <w:rStyle w:val="7"/>
                <w:rFonts w:ascii="Times New Roman" w:hAnsi="Times New Roman" w:eastAsia="宋体"/>
                <w:b/>
                <w:spacing w:val="-10"/>
                <w:szCs w:val="32"/>
              </w:rPr>
            </w:pPr>
            <w:r>
              <w:rPr>
                <w:rStyle w:val="7"/>
                <w:rFonts w:hint="eastAsia" w:ascii="Times New Roman" w:hAnsi="Times New Roman" w:eastAsia="宋体"/>
                <w:b/>
                <w:spacing w:val="-10"/>
                <w:szCs w:val="32"/>
              </w:rPr>
              <w:t>授权级别</w:t>
            </w:r>
          </w:p>
        </w:tc>
        <w:tc>
          <w:tcPr>
            <w:tcW w:w="3977" w:type="dxa"/>
            <w:tcBorders>
              <w:top w:val="nil"/>
              <w:left w:val="single" w:color="000000" w:sz="4" w:space="0"/>
              <w:bottom w:val="single" w:color="000000" w:sz="4" w:space="0"/>
              <w:right w:val="nil"/>
            </w:tcBorders>
            <w:vAlign w:val="center"/>
          </w:tcPr>
          <w:p w14:paraId="3BFEAD30">
            <w:pPr>
              <w:snapToGrid w:val="0"/>
              <w:spacing w:line="300" w:lineRule="auto"/>
              <w:textAlignment w:val="baseline"/>
              <w:rPr>
                <w:rStyle w:val="7"/>
                <w:rFonts w:ascii="Times New Roman" w:hAnsi="Times New Roman" w:eastAsia="宋体"/>
                <w:b/>
                <w:spacing w:val="-10"/>
                <w:szCs w:val="32"/>
              </w:rPr>
            </w:pPr>
            <w:r>
              <w:rPr>
                <w:rStyle w:val="7"/>
                <w:rFonts w:ascii="Segoe UI Symbol" w:hAnsi="Segoe UI Symbol" w:eastAsia="宋体" w:cs="Segoe UI Symbol"/>
                <w:b/>
                <w:spacing w:val="-10"/>
                <w:szCs w:val="32"/>
              </w:rPr>
              <w:t>☑</w:t>
            </w:r>
            <w:r>
              <w:rPr>
                <w:rStyle w:val="7"/>
                <w:rFonts w:ascii="Times New Roman" w:hAnsi="Times New Roman" w:eastAsia="宋体"/>
                <w:b/>
                <w:spacing w:val="-10"/>
                <w:szCs w:val="32"/>
              </w:rPr>
              <w:t xml:space="preserve"> </w:t>
            </w:r>
            <w:r>
              <w:rPr>
                <w:rStyle w:val="7"/>
                <w:rFonts w:hint="eastAsia" w:ascii="Times New Roman" w:hAnsi="Times New Roman" w:eastAsia="宋体"/>
                <w:b/>
                <w:spacing w:val="-10"/>
                <w:szCs w:val="32"/>
              </w:rPr>
              <w:t xml:space="preserve">博 </w:t>
            </w:r>
            <w:r>
              <w:rPr>
                <w:rStyle w:val="7"/>
                <w:rFonts w:ascii="Times New Roman" w:hAnsi="Times New Roman" w:eastAsia="宋体"/>
                <w:b/>
                <w:spacing w:val="-10"/>
                <w:szCs w:val="32"/>
              </w:rPr>
              <w:t xml:space="preserve"> </w:t>
            </w:r>
            <w:r>
              <w:rPr>
                <w:rStyle w:val="7"/>
                <w:rFonts w:hint="eastAsia" w:ascii="Times New Roman" w:hAnsi="Times New Roman" w:eastAsia="宋体"/>
                <w:b/>
                <w:spacing w:val="-10"/>
                <w:szCs w:val="32"/>
              </w:rPr>
              <w:t>士</w:t>
            </w:r>
          </w:p>
        </w:tc>
      </w:tr>
      <w:tr w14:paraId="122D3E4E">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top w:val="single" w:color="000000" w:sz="4" w:space="0"/>
              <w:left w:val="nil"/>
              <w:bottom w:val="nil"/>
              <w:right w:val="single" w:color="000000" w:sz="4" w:space="0"/>
            </w:tcBorders>
            <w:vAlign w:val="center"/>
          </w:tcPr>
          <w:p w14:paraId="281400CE">
            <w:pPr>
              <w:snapToGrid w:val="0"/>
              <w:spacing w:line="300" w:lineRule="auto"/>
              <w:jc w:val="center"/>
              <w:textAlignment w:val="baseline"/>
              <w:rPr>
                <w:rStyle w:val="7"/>
                <w:rFonts w:ascii="Times New Roman" w:hAnsi="Times New Roman" w:eastAsia="宋体"/>
                <w:b/>
                <w:spacing w:val="-10"/>
                <w:szCs w:val="32"/>
              </w:rPr>
            </w:pPr>
          </w:p>
        </w:tc>
        <w:tc>
          <w:tcPr>
            <w:tcW w:w="3977" w:type="dxa"/>
            <w:tcBorders>
              <w:top w:val="single" w:color="000000" w:sz="4" w:space="0"/>
              <w:left w:val="single" w:color="000000" w:sz="4" w:space="0"/>
              <w:bottom w:val="nil"/>
              <w:right w:val="nil"/>
            </w:tcBorders>
            <w:vAlign w:val="center"/>
          </w:tcPr>
          <w:p w14:paraId="3B84D4D3">
            <w:pPr>
              <w:snapToGrid w:val="0"/>
              <w:spacing w:line="300" w:lineRule="auto"/>
              <w:textAlignment w:val="baseline"/>
              <w:rPr>
                <w:rStyle w:val="7"/>
                <w:rFonts w:ascii="Times New Roman" w:hAnsi="Times New Roman" w:eastAsia="宋体"/>
                <w:b/>
                <w:spacing w:val="-10"/>
                <w:szCs w:val="32"/>
              </w:rPr>
            </w:pPr>
            <w:r>
              <w:rPr>
                <w:rStyle w:val="7"/>
                <w:rFonts w:ascii="Segoe UI Symbol" w:hAnsi="Segoe UI Symbol" w:eastAsia="宋体" w:cs="Segoe UI Symbol"/>
                <w:b/>
                <w:spacing w:val="-10"/>
                <w:szCs w:val="32"/>
              </w:rPr>
              <w:t>☑</w:t>
            </w:r>
            <w:r>
              <w:rPr>
                <w:rStyle w:val="7"/>
                <w:rFonts w:ascii="Times New Roman" w:hAnsi="Times New Roman" w:eastAsia="宋体"/>
                <w:b/>
                <w:spacing w:val="-10"/>
                <w:szCs w:val="32"/>
              </w:rPr>
              <w:t xml:space="preserve"> </w:t>
            </w:r>
            <w:r>
              <w:rPr>
                <w:rStyle w:val="7"/>
                <w:rFonts w:hint="eastAsia" w:ascii="Times New Roman" w:hAnsi="Times New Roman" w:eastAsia="宋体"/>
                <w:b/>
                <w:spacing w:val="-10"/>
                <w:szCs w:val="32"/>
              </w:rPr>
              <w:t xml:space="preserve">硕 </w:t>
            </w:r>
            <w:r>
              <w:rPr>
                <w:rStyle w:val="7"/>
                <w:rFonts w:ascii="Times New Roman" w:hAnsi="Times New Roman" w:eastAsia="宋体"/>
                <w:b/>
                <w:spacing w:val="-10"/>
                <w:szCs w:val="32"/>
              </w:rPr>
              <w:t xml:space="preserve"> </w:t>
            </w:r>
            <w:r>
              <w:rPr>
                <w:rStyle w:val="7"/>
                <w:rFonts w:hint="eastAsia" w:ascii="Times New Roman" w:hAnsi="Times New Roman" w:eastAsia="宋体"/>
                <w:b/>
                <w:spacing w:val="-10"/>
                <w:szCs w:val="32"/>
              </w:rPr>
              <w:t>士</w:t>
            </w:r>
          </w:p>
        </w:tc>
      </w:tr>
    </w:tbl>
    <w:p w14:paraId="66CDD0C5">
      <w:pPr>
        <w:pStyle w:val="8"/>
        <w:widowControl/>
        <w:rPr>
          <w:rStyle w:val="7"/>
          <w:color w:val="auto"/>
        </w:rPr>
      </w:pPr>
    </w:p>
    <w:p w14:paraId="3DDBDD16"/>
    <w:p w14:paraId="67094B20">
      <w:pPr>
        <w:spacing w:line="560" w:lineRule="exact"/>
        <w:jc w:val="center"/>
        <w:textAlignment w:val="baseline"/>
        <w:rPr>
          <w:rStyle w:val="7"/>
          <w:rFonts w:ascii="Times New Roman" w:hAnsi="Times New Roman" w:eastAsia="楷体_GB2312"/>
          <w:b/>
          <w:sz w:val="30"/>
          <w:szCs w:val="30"/>
        </w:rPr>
      </w:pPr>
    </w:p>
    <w:p w14:paraId="0FA30B91">
      <w:pPr>
        <w:spacing w:line="560" w:lineRule="exact"/>
        <w:jc w:val="center"/>
        <w:textAlignment w:val="baseline"/>
        <w:rPr>
          <w:rStyle w:val="7"/>
          <w:rFonts w:ascii="黑体" w:hAnsi="黑体" w:eastAsia="黑体"/>
          <w:szCs w:val="32"/>
        </w:rPr>
        <w:sectPr>
          <w:footerReference r:id="rId3" w:type="default"/>
          <w:pgSz w:w="11906" w:h="16838"/>
          <w:pgMar w:top="1440" w:right="1800" w:bottom="1440" w:left="1800" w:header="851" w:footer="992" w:gutter="0"/>
          <w:pgNumType w:start="0"/>
          <w:cols w:space="425" w:num="1"/>
          <w:titlePg/>
          <w:docGrid w:type="lines" w:linePitch="312" w:charSpace="0"/>
        </w:sectPr>
      </w:pPr>
      <w:r>
        <w:rPr>
          <w:rStyle w:val="7"/>
          <w:rFonts w:ascii="Times New Roman" w:hAnsi="Times New Roman" w:eastAsia="楷体_GB2312"/>
          <w:b/>
          <w:szCs w:val="32"/>
        </w:rPr>
        <w:t>202</w:t>
      </w:r>
      <w:r>
        <w:rPr>
          <w:rStyle w:val="7"/>
          <w:rFonts w:hint="eastAsia" w:ascii="Times New Roman" w:hAnsi="Times New Roman" w:eastAsia="楷体_GB2312"/>
          <w:b/>
          <w:szCs w:val="32"/>
        </w:rPr>
        <w:t>4</w:t>
      </w:r>
      <w:r>
        <w:rPr>
          <w:rStyle w:val="7"/>
          <w:rFonts w:ascii="Times New Roman" w:hAnsi="Times New Roman" w:eastAsia="楷体_GB2312"/>
          <w:b/>
          <w:szCs w:val="32"/>
        </w:rPr>
        <w:t>年5月30日</w:t>
      </w:r>
    </w:p>
    <w:p w14:paraId="50A8174D">
      <w:pPr>
        <w:spacing w:line="460" w:lineRule="exact"/>
        <w:jc w:val="center"/>
        <w:rPr>
          <w:rFonts w:ascii="华文中宋" w:hAnsi="华文中宋" w:eastAsia="华文中宋" w:cs="宋体"/>
          <w:b/>
          <w:bCs/>
          <w:sz w:val="36"/>
          <w:szCs w:val="32"/>
        </w:rPr>
      </w:pPr>
      <w:r>
        <w:rPr>
          <w:rFonts w:hint="eastAsia" w:ascii="华文中宋" w:hAnsi="华文中宋" w:eastAsia="华文中宋" w:cs="宋体"/>
          <w:b/>
          <w:bCs/>
          <w:sz w:val="36"/>
          <w:szCs w:val="32"/>
        </w:rPr>
        <w:t>上海音乐学院音乐与舞蹈学学位授权点建设年度报告</w:t>
      </w:r>
    </w:p>
    <w:p w14:paraId="527695F2">
      <w:pPr>
        <w:spacing w:line="460" w:lineRule="exact"/>
        <w:jc w:val="center"/>
        <w:rPr>
          <w:rFonts w:ascii="华文中宋" w:hAnsi="华文中宋" w:eastAsia="华文中宋" w:cs="宋体"/>
          <w:b/>
          <w:bCs/>
          <w:sz w:val="36"/>
          <w:szCs w:val="32"/>
        </w:rPr>
      </w:pPr>
      <w:r>
        <w:rPr>
          <w:rFonts w:hint="eastAsia" w:ascii="华文中宋" w:hAnsi="华文中宋" w:eastAsia="华文中宋" w:cs="宋体"/>
          <w:b/>
          <w:bCs/>
          <w:sz w:val="36"/>
          <w:szCs w:val="32"/>
        </w:rPr>
        <w:t>（2023）</w:t>
      </w:r>
    </w:p>
    <w:p w14:paraId="758EDB59">
      <w:pPr>
        <w:spacing w:line="600" w:lineRule="exact"/>
        <w:rPr>
          <w:rFonts w:ascii="仿宋_GB2312" w:hAnsi="宋体" w:eastAsia="仿宋_GB2312" w:cs="宋体"/>
          <w:b/>
          <w:bCs/>
          <w:sz w:val="28"/>
          <w:szCs w:val="28"/>
        </w:rPr>
      </w:pPr>
    </w:p>
    <w:p w14:paraId="25762436">
      <w:pPr>
        <w:spacing w:line="560" w:lineRule="exact"/>
        <w:ind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一、学位点基本概况</w:t>
      </w:r>
    </w:p>
    <w:p w14:paraId="14ABD3CF">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上海音乐学院音乐与舞蹈学一级学科始终贯彻“办一流音乐教育，创国际先进水平”指示精神，坚持精品音乐教育，以国内顶尖、世界一流作为本学科定位与发展目标。我院音乐与舞蹈学以音乐表演为学科基础，以音乐创作与理论研究为学科引领，以音乐科技为学科特色，构成理论与实践、传统与科技相结合的学科体系。</w:t>
      </w:r>
    </w:p>
    <w:p w14:paraId="3E18DA57">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本学位授权点是上海音乐学院的传统强势学科，是学校发展的立院之本。依托雄厚的历史积淀与传统积累，经过贺绿汀、丁善德、钱仁康、周小燕等前辈的共同努力，长期以来引领着中国音乐艺术和专业音乐教育发展，并且在声乐、弦乐、钢琴、民乐、作曲、中国音乐研究等方面处 于国际一流水平。本学科作为学院办学的主体学科，学科覆盖率达70%，涉及9个教学单位。学科拥有全国最早一批建立的硕士、博士学位授予点。</w:t>
      </w:r>
    </w:p>
    <w:p w14:paraId="16918867">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本学位授权点具有清晰的二级学科以及多个专业方向支持，学科建设强调以创作引领发展，音乐创作、音乐表演、音乐理论、音乐应用“四轮驱动”、协调发展。一方面，作曲学科的发展依靠优秀的表演学科为其保障；另一方面，通过作曲学科发展和创作的繁荣反哺了表演、理论学科，从而形成了本学科内部的良性互动与协同发展。本学科中各团队结构清晰、特色鲜明，包含有国家级教学名师等各高层次人才。具有完善的各层次人才培养方案与相应的课程体系。为社会培养出大批优秀的音乐艺术人才。</w:t>
      </w:r>
    </w:p>
    <w:p w14:paraId="6A6BFE92">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长期以来，本学科师资队伍中就包含有一定比例的在国外一流音乐院校学习、获得学位或者长期访学经历的教师人数。本学科师生在国际重大比赛中获得优异成绩或者担任评委工作。建有当代音乐周、电子音乐周、歌剧大师班、钢琴大师班等国际化交流平台，在作曲学科开设国际化课程。近年来，加大以国际高水平导向、国际社会认可度导向引领学科发展。进一步加大了对已有学科团队、学术中心的培植，深化国际化合作，并探索实质化国际办学模式，强化本学科国际对话能力。</w:t>
      </w:r>
    </w:p>
    <w:p w14:paraId="0796CED8">
      <w:pPr>
        <w:spacing w:line="560" w:lineRule="exact"/>
        <w:ind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（一）学科方向及特色</w:t>
      </w:r>
    </w:p>
    <w:p w14:paraId="7EC3B9BC">
      <w:pPr>
        <w:spacing w:line="560" w:lineRule="exact"/>
        <w:ind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1.作曲</w:t>
      </w:r>
    </w:p>
    <w:p w14:paraId="59B0FE9D">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作曲学科始建于1927年国立音乐院创立之初，是中国建立最早、历史最悠久的培养作曲家的摇篮。学科承担着全院作曲课教学与科研、创作与实践、考核与评审以及与此相关的众多其他事务性工作。学科现拥有雄厚的师资，具备一流的教学、创作和科研水平，在国际乐坛享有盛誉，已经形成完备的本科、硕士、博士和博士后等多层次的教学体系。作曲学科获得了灿如星辰的辉煌成就，在创作方面硕果累累，收获了国际国内多项重大奖项，成功举办多场音乐会，并且每年都推出多部新创作品。不管是从创作、科研还是教学等方面，本学科都具有国际顶尖的水平。现阶段，学科正在进一步打造国际一流的师资队伍，努力繁荣艺术科创，为产出具有标志性的系列重大成果而努力。</w:t>
      </w:r>
    </w:p>
    <w:p w14:paraId="5050772E">
      <w:pPr>
        <w:spacing w:line="560" w:lineRule="exact"/>
        <w:ind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2.作曲理论</w:t>
      </w:r>
    </w:p>
    <w:p w14:paraId="0C1F6CE1">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作曲理论学科始建于1927年国立音乐院创立之初，由蔡元培等在中国首次系统地将作曲理论纳入高等音乐教育体系。学科建设之初，参照欧洲音乐学院专业设置理论课程，为国内音乐教育机构相关专业的设置树立了标杆。学科包含和声、复调、曲式、配器、视唱练耳等专业方向，承担着全院相关理论课教学与科研、考核与评审以及与此相关的众多其他事务性工作。学科具有国际顶尖的水平，拥有雄厚的师资，已经形成完备的本科、硕士、博士和博士后等多层次的教学体系，学科所编写的各种教材均以成为国内权威教材。学科具备一流的科研水平，获得了众多成果，包含国家社科基金重大项目等；出版多部重要著作，核心期刊发表多篇论文，并获得多项国家级重要科研奖项。</w:t>
      </w:r>
    </w:p>
    <w:p w14:paraId="2D09D167">
      <w:pPr>
        <w:spacing w:line="560" w:lineRule="exact"/>
        <w:ind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3.音乐学</w:t>
      </w:r>
    </w:p>
    <w:p w14:paraId="5031ADCA">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音乐学是采用科学方法对中外音乐艺术和音乐文化现象进行系统研究的艺术理论学科，内容涉及：音乐的历史发展及演变，音乐的社会功能及文化意义，音乐的审美机制和美学规律，音乐作品的解析和批评，音乐的传播与接受等方面。音乐学兼顾本土音乐资源与外来学术养料，建构围绕音乐本体进行史论析辨的理论逻辑框架，在保持中国音乐史、中国传统音乐、西方音乐史、音乐分析、音乐美学等传统学科强势的前提下，振兴民族音乐学、东方音乐、世界音乐等学科优势，拓展音乐批评、流行音乐研究、音乐心理学、音乐表演理论等新兴学科。音乐学在国家级和省部级重大项目申报、哲学社会科学优秀成果获得及一流教学成果等方面业绩斐然，是国内音乐学学科的引领者。</w:t>
      </w:r>
    </w:p>
    <w:p w14:paraId="630CF33D">
      <w:pPr>
        <w:spacing w:line="560" w:lineRule="exact"/>
        <w:ind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4.音乐表演艺术研究</w:t>
      </w:r>
    </w:p>
    <w:p w14:paraId="26F0F9DC">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学科下设声乐表演艺术研究、弦乐表演艺术研究、打击乐表演艺术研究、民族吹管乐表演艺术研究、民族弹拨乐表演艺术研究、钢琴表演艺术研究、指挥艺术研究等方向。长期以来引领中国音乐艺术和高等专业音乐教育发展，学科综合实力优势明显。通过以探究的精神、学术研究的态度、大量的技术训练与丰富的艺术实践等方面来培养学生高水平音乐方向研究能力，培养掌握坚实宽广的基础理论、系统深入的专门知识，把握学科前沿发展趋势，具有独立从事高水平音乐研究、创作和表演艺术的能力，能在学科领域做出创造性成果的领军人才、学科带头人。</w:t>
      </w:r>
    </w:p>
    <w:p w14:paraId="33A0D9EB">
      <w:pPr>
        <w:numPr>
          <w:ilvl w:val="0"/>
          <w:numId w:val="1"/>
        </w:numPr>
        <w:spacing w:line="560" w:lineRule="exact"/>
        <w:ind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培养目标</w:t>
      </w:r>
    </w:p>
    <w:p w14:paraId="6CE34E50">
      <w:pPr>
        <w:spacing w:line="560" w:lineRule="exact"/>
        <w:ind w:firstLine="480"/>
        <w:rPr>
          <w:rFonts w:ascii="仿宋_GB2312" w:hAnsi="宋体" w:eastAsia="仿宋_GB2312" w:cs="宋体"/>
          <w:sz w:val="28"/>
          <w:szCs w:val="28"/>
        </w:rPr>
      </w:pPr>
      <w:r>
        <w:rPr>
          <w:rFonts w:hint="eastAsia" w:ascii="仿宋_GB2312" w:hAnsi="宋体" w:eastAsia="仿宋_GB2312" w:cs="宋体"/>
          <w:sz w:val="28"/>
          <w:szCs w:val="28"/>
        </w:rPr>
        <w:t>音乐与舞蹈学以音乐创作与理论研究为引领，以音乐表演为基础，以音乐科技为特色，构成完备的学科体系。把握世界一流音乐院校办学规律和发展趋势，形成了融音乐创作与理论、音乐表演、音乐学理论和音乐应用“四轮驱动”的学科建设模式。以国家发展重大任务和解决学科前沿问题为牵引，加强基础理论研究，在音乐理论、音乐表演、音乐史学等方面继续引领学术发展；构建以传统优势学科、特色学科、新兴复合型学科交叉融合、协调互补的发展格局，以舞台综合集成牵引人才培养模式改革，形成国际一流的学术高地和音乐作品首演地，服务世界级城市群文化建设。培养具有坚实宽广的理论基础和系统深入的专业知识在本门学科中掌握坚实宽广的基础理论，系统深入的专门知识和本学科前沿发展动态，具有独立从事高水平音乐研究和创作的能力，能在音乐研究和创作领域做出创造性成果的本学科领军人才、学科带头人和高级专门人才。</w:t>
      </w:r>
    </w:p>
    <w:p w14:paraId="22F75397">
      <w:pPr>
        <w:numPr>
          <w:ilvl w:val="0"/>
          <w:numId w:val="1"/>
        </w:numPr>
        <w:spacing w:line="560" w:lineRule="exact"/>
        <w:ind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师资队伍</w:t>
      </w:r>
    </w:p>
    <w:p w14:paraId="03107D22">
      <w:pPr>
        <w:spacing w:line="560" w:lineRule="exact"/>
        <w:ind w:firstLine="481"/>
        <w:rPr>
          <w:rFonts w:ascii="仿宋_GB2312" w:hAnsi="宋体" w:eastAsia="仿宋_GB2312" w:cs="宋体"/>
          <w:sz w:val="28"/>
          <w:szCs w:val="28"/>
        </w:rPr>
      </w:pPr>
      <w:r>
        <w:rPr>
          <w:rFonts w:hint="eastAsia" w:ascii="仿宋_GB2312" w:hAnsi="宋体" w:eastAsia="仿宋_GB2312" w:cs="宋体"/>
          <w:sz w:val="28"/>
          <w:szCs w:val="28"/>
        </w:rPr>
        <w:t>本学位授权点共有专任教师101名，其中正高级职称88名，副高级职称13人；最高学位博士53人，硕士31人；博士生导师74人，硕士生导师88人。</w:t>
      </w:r>
    </w:p>
    <w:p w14:paraId="6652CBBF">
      <w:pPr>
        <w:spacing w:line="560" w:lineRule="exact"/>
        <w:ind w:firstLine="480"/>
        <w:rPr>
          <w:rFonts w:ascii="仿宋_GB2312" w:hAnsi="宋体" w:eastAsia="仿宋_GB2312" w:cs="宋体"/>
          <w:b/>
          <w:bCs/>
          <w:sz w:val="28"/>
          <w:szCs w:val="28"/>
        </w:rPr>
      </w:pPr>
      <w:r>
        <w:rPr>
          <w:rFonts w:hint="eastAsia" w:ascii="仿宋_GB2312" w:hAnsi="宋体" w:eastAsia="仿宋_GB2312" w:cs="宋体"/>
          <w:b/>
          <w:bCs/>
          <w:sz w:val="28"/>
          <w:szCs w:val="28"/>
        </w:rPr>
        <w:t>二、党建与思想政治教育</w:t>
      </w:r>
    </w:p>
    <w:p w14:paraId="41E31AEF">
      <w:pPr>
        <w:spacing w:line="560" w:lineRule="exact"/>
        <w:ind w:firstLine="480"/>
        <w:rPr>
          <w:rFonts w:ascii="仿宋_GB2312" w:hAnsi="宋体" w:eastAsia="仿宋_GB2312" w:cs="宋体"/>
          <w:b/>
          <w:bCs/>
          <w:sz w:val="28"/>
          <w:szCs w:val="28"/>
        </w:rPr>
      </w:pPr>
      <w:r>
        <w:rPr>
          <w:rFonts w:hint="eastAsia" w:ascii="仿宋_GB2312" w:hAnsi="宋体" w:eastAsia="仿宋_GB2312" w:cs="宋体"/>
          <w:b/>
          <w:bCs/>
          <w:sz w:val="28"/>
          <w:szCs w:val="28"/>
        </w:rPr>
        <w:t>（一）师德师风建设</w:t>
      </w:r>
    </w:p>
    <w:p w14:paraId="3505875B">
      <w:pPr>
        <w:spacing w:line="560" w:lineRule="exact"/>
        <w:ind w:firstLine="480"/>
        <w:rPr>
          <w:rFonts w:ascii="仿宋_GB2312" w:hAnsi="宋体" w:eastAsia="仿宋_GB2312" w:cs="宋体"/>
          <w:b/>
          <w:bCs/>
          <w:sz w:val="28"/>
          <w:szCs w:val="28"/>
        </w:rPr>
      </w:pPr>
      <w:r>
        <w:rPr>
          <w:rFonts w:hint="eastAsia" w:ascii="仿宋_GB2312" w:hAnsi="宋体" w:eastAsia="仿宋_GB2312" w:cs="宋体"/>
          <w:sz w:val="28"/>
          <w:szCs w:val="28"/>
        </w:rPr>
        <w:t>立足新时代，研究生部聚焦人才培养成效、科研创新质量等核心要素，以“科研育人”书写研究生教育创新发展新篇章。我院在人才培养中加强学风建设，不断完善质量评价机制。8月，召开上海音乐学院2022届优秀博士学位论文颁奖暨研究生学风建设宣讲会，8位获奖论文的导师和8位获奖博士分别从治学、科研、写作等方面谈了各自的体会。2023届优秀博士学位论文评审也于年底完成，共有8篇论文获评。</w:t>
      </w:r>
    </w:p>
    <w:p w14:paraId="32A4CF22">
      <w:pPr>
        <w:spacing w:line="560" w:lineRule="exact"/>
        <w:ind w:firstLine="480"/>
        <w:rPr>
          <w:rFonts w:ascii="仿宋_GB2312" w:hAnsi="宋体" w:eastAsia="仿宋_GB2312" w:cs="宋体"/>
          <w:b/>
          <w:bCs/>
          <w:sz w:val="28"/>
          <w:szCs w:val="28"/>
        </w:rPr>
      </w:pPr>
      <w:r>
        <w:rPr>
          <w:rFonts w:hint="eastAsia" w:ascii="仿宋_GB2312" w:hAnsi="宋体" w:eastAsia="仿宋_GB2312" w:cs="宋体"/>
          <w:sz w:val="28"/>
          <w:szCs w:val="28"/>
        </w:rPr>
        <w:t>加强研究生导师队伍建设，牢固树立导师是研究生培养第一责任人的意识，构建良好的导学关系。组织新聘研究生导师参加上海市学位委员会组织的导师培训班，组织全院导师参加“四有导师学院”线上研修课程。</w:t>
      </w:r>
    </w:p>
    <w:p w14:paraId="53E213A3">
      <w:pPr>
        <w:spacing w:line="560" w:lineRule="exact"/>
        <w:ind w:firstLine="480"/>
        <w:rPr>
          <w:rFonts w:ascii="仿宋_GB2312" w:hAnsi="宋体" w:eastAsia="仿宋_GB2312" w:cs="宋体"/>
          <w:b/>
          <w:bCs/>
          <w:sz w:val="28"/>
          <w:szCs w:val="28"/>
        </w:rPr>
      </w:pPr>
      <w:r>
        <w:rPr>
          <w:rFonts w:hint="eastAsia" w:ascii="仿宋_GB2312" w:hAnsi="宋体" w:eastAsia="仿宋_GB2312" w:cs="宋体"/>
          <w:sz w:val="28"/>
          <w:szCs w:val="28"/>
        </w:rPr>
        <w:t>为进一步深入贯彻落实党的二十大精神，深入推进习近平新时代中国特色社会主义思想主题教育“后半篇文章”，加强师德师风建设，树立“躬耕教坛、强国有我”的志向和抱负，围绕思政育人，提高教师教学能力，加强拔尖创新人才培养，深化“四新”建设，教师发展中心、党委教师工作部于10月25日、11月1日举办2023秋季上海音乐学院青年教师教学暨师德师风培训班。本次培训班共有七场讲座，分为三大板块：一、师德师风建设；二、聚焦赛事，以赛促建；三、大思政视域下对于课程思政的探索和思考。学校推行“教创演研一体化”的人才培养模式，把师德师风建设融入“教”、“创”、“演”、“研”每个环节。同时，师德师风建设还与学院的中心工作结合在一起，与后续的重点工作结合在一起。人才工作和师德师风建设是贯彻全年的重要工作。</w:t>
      </w:r>
    </w:p>
    <w:p w14:paraId="74026382">
      <w:pPr>
        <w:numPr>
          <w:ilvl w:val="0"/>
          <w:numId w:val="2"/>
        </w:numPr>
        <w:spacing w:line="560" w:lineRule="exact"/>
        <w:ind w:firstLine="480"/>
        <w:rPr>
          <w:rFonts w:ascii="仿宋_GB2312" w:hAnsi="宋体" w:eastAsia="仿宋_GB2312" w:cs="宋体"/>
          <w:b/>
          <w:bCs/>
          <w:sz w:val="28"/>
          <w:szCs w:val="28"/>
        </w:rPr>
      </w:pPr>
      <w:r>
        <w:rPr>
          <w:rFonts w:hint="eastAsia" w:ascii="仿宋_GB2312" w:hAnsi="宋体" w:eastAsia="仿宋_GB2312" w:cs="宋体"/>
          <w:b/>
          <w:bCs/>
          <w:sz w:val="28"/>
          <w:szCs w:val="28"/>
        </w:rPr>
        <w:t>就业工作</w:t>
      </w:r>
    </w:p>
    <w:p w14:paraId="3C44373C">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学校开展了各类稳毕业、促就业、扶创业的工作，并顺利举办多次“研究生就业与创业服务季”专题活动，主题覆盖考博经验分享高校教师应聘、文化事业单位行政或教育岗、三支一扶政策详解、与图书有关的岗位、体制内外的演艺生涯、创业感悟分享等。</w:t>
      </w:r>
    </w:p>
    <w:p w14:paraId="040612B0">
      <w:pPr>
        <w:spacing w:line="560" w:lineRule="exact"/>
        <w:ind w:firstLine="560" w:firstLineChars="200"/>
        <w:rPr>
          <w:rFonts w:ascii="仿宋_GB2312" w:hAnsi="宋体" w:eastAsia="仿宋_GB2312" w:cs="宋体"/>
          <w:sz w:val="28"/>
          <w:szCs w:val="28"/>
        </w:rPr>
      </w:pPr>
      <w:r>
        <w:rPr>
          <w:rFonts w:hint="eastAsia" w:ascii="仿宋_GB2312" w:hAnsi="Times New Roman" w:eastAsia="仿宋_GB2312" w:cs="Times New Roman"/>
          <w:sz w:val="28"/>
          <w:szCs w:val="28"/>
        </w:rPr>
        <w:t>音乐与舞蹈学的毕业生就业落实率94.74%。</w:t>
      </w:r>
    </w:p>
    <w:p w14:paraId="4DEFBBB1">
      <w:pPr>
        <w:numPr>
          <w:ilvl w:val="0"/>
          <w:numId w:val="2"/>
        </w:numPr>
        <w:spacing w:line="560" w:lineRule="exact"/>
        <w:ind w:firstLine="480"/>
        <w:rPr>
          <w:rFonts w:ascii="仿宋_GB2312" w:hAnsi="宋体" w:eastAsia="仿宋_GB2312" w:cs="宋体"/>
          <w:b/>
          <w:bCs/>
          <w:sz w:val="28"/>
          <w:szCs w:val="28"/>
        </w:rPr>
      </w:pPr>
      <w:r>
        <w:rPr>
          <w:rFonts w:hint="eastAsia" w:ascii="仿宋_GB2312" w:hAnsi="宋体" w:eastAsia="仿宋_GB2312" w:cs="宋体"/>
          <w:b/>
          <w:bCs/>
          <w:sz w:val="28"/>
          <w:szCs w:val="28"/>
        </w:rPr>
        <w:t>学风建设</w:t>
      </w:r>
    </w:p>
    <w:p w14:paraId="5DBE1CB9">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为引导研究生树立正确的价值取向、学术导向，把正确的思想价值融入科研育人的全过程。研究生部一方面积极推进完善研究生奖惩制度，并在落实奖惩措施的同时积极展开各类学风、科研活动，推进研究生学风建设，提升研究生科研水平。</w:t>
      </w:r>
    </w:p>
    <w:p w14:paraId="1712F6FB">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本年度完成研究生国家奖学金与各类学业奖学金、助学金、中银奖学金、福美奖学金、上音-汉堡联合培养项目奖学金的年度申报、审核、发放工作。组织开展2023届优秀毕业生、三好学生、优秀学生干部等评选工作。举行上海音乐学院第八次研究生代表大会。这些评优奖励活动对研究生全体有较好优秀典型学习示范意义。</w:t>
      </w:r>
    </w:p>
    <w:p w14:paraId="5159F96A">
      <w:pPr>
        <w:spacing w:line="560" w:lineRule="exact"/>
        <w:ind w:firstLine="560" w:firstLineChars="200"/>
        <w:rPr>
          <w:rStyle w:val="7"/>
          <w:rFonts w:ascii="仿宋_GB2312" w:hAnsi="仿宋_GB2312" w:eastAsia="仿宋_GB2312" w:cs="仿宋_GB2312"/>
          <w:sz w:val="28"/>
          <w:szCs w:val="28"/>
        </w:rPr>
      </w:pPr>
      <w:r>
        <w:rPr>
          <w:rStyle w:val="7"/>
          <w:rFonts w:hint="eastAsia" w:ascii="仿宋_GB2312" w:hAnsi="仿宋_GB2312" w:eastAsia="仿宋_GB2312" w:cs="仿宋_GB2312"/>
          <w:sz w:val="28"/>
          <w:szCs w:val="28"/>
        </w:rPr>
        <w:t>2023年9月26日-12月7日举行了上海音乐学院第十八届奏鸣·研究生艺术节。奏鸣·研究生艺术节不仅是艺术交融的盛宴，也是一个学术交流、提升修为的优质平台。本届艺术节活动共计32场，全面覆盖了教学、创作、演出、研究等多个环节，呈现了集视听、思想、实践于一体的学术盛宴和艺术盛会。历时整个秋季学期，充分将各类活动融入日常教学中，丰富了研究生的培养模式，全方位、多角度地展现出研究教育的全面性、实践性、综合性，体现了上海音乐学院“教创演研”一体化的人才培养模式。</w:t>
      </w:r>
    </w:p>
    <w:p w14:paraId="0897B69E">
      <w:pPr>
        <w:spacing w:line="560" w:lineRule="exact"/>
        <w:ind w:firstLine="560" w:firstLineChars="200"/>
        <w:rPr>
          <w:rStyle w:val="7"/>
          <w:rFonts w:ascii="仿宋_GB2312" w:hAnsi="仿宋_GB2312" w:eastAsia="仿宋_GB2312" w:cs="仿宋_GB2312"/>
          <w:sz w:val="28"/>
          <w:szCs w:val="28"/>
        </w:rPr>
      </w:pPr>
      <w:r>
        <w:rPr>
          <w:rStyle w:val="7"/>
          <w:rFonts w:hint="eastAsia" w:ascii="仿宋_GB2312" w:hAnsi="仿宋_GB2312" w:eastAsia="仿宋_GB2312" w:cs="仿宋_GB2312"/>
          <w:sz w:val="28"/>
          <w:szCs w:val="28"/>
        </w:rPr>
        <w:t>11月27-28日，上海音乐学院教育教学工作会议召开，党委书记裴小倩、院长廖昌永出席并讲话。研究生部主任钱仁平教授作题为“优化学科专业结构，赋能拔尖创新音乐艺术人才培养”工作报告。</w:t>
      </w:r>
    </w:p>
    <w:p w14:paraId="41886096">
      <w:pPr>
        <w:numPr>
          <w:ilvl w:val="0"/>
          <w:numId w:val="3"/>
        </w:numPr>
        <w:spacing w:line="560" w:lineRule="exact"/>
        <w:ind w:firstLine="562" w:firstLineChars="200"/>
        <w:rPr>
          <w:rFonts w:ascii="仿宋_GB2312" w:hAnsi="宋体" w:eastAsia="仿宋_GB2312" w:cs="宋体"/>
          <w:b/>
          <w:bCs/>
          <w:sz w:val="28"/>
          <w:szCs w:val="28"/>
        </w:rPr>
      </w:pPr>
      <w:r>
        <w:rPr>
          <w:rFonts w:hint="eastAsia" w:ascii="仿宋_GB2312" w:hAnsi="宋体" w:eastAsia="仿宋_GB2312"/>
          <w:b/>
          <w:sz w:val="28"/>
        </w:rPr>
        <w:t>文化传承和艺术科创</w:t>
      </w:r>
    </w:p>
    <w:p w14:paraId="3A14AAD0">
      <w:pPr>
        <w:spacing w:line="560" w:lineRule="exact"/>
        <w:ind w:left="562"/>
        <w:rPr>
          <w:rFonts w:ascii="仿宋_GB2312" w:hAnsi="宋体" w:eastAsia="仿宋_GB2312" w:cs="宋体"/>
          <w:b/>
          <w:bCs/>
          <w:sz w:val="28"/>
          <w:szCs w:val="28"/>
        </w:rPr>
      </w:pPr>
      <w:r>
        <w:rPr>
          <w:rFonts w:hint="eastAsia" w:ascii="仿宋_GB2312" w:hAnsi="宋体" w:eastAsia="仿宋_GB2312" w:cs="宋体"/>
          <w:b/>
          <w:bCs/>
          <w:sz w:val="28"/>
          <w:szCs w:val="28"/>
        </w:rPr>
        <w:t>（一）获批重大重点项目情况</w:t>
      </w:r>
    </w:p>
    <w:p w14:paraId="61CBF858">
      <w:pPr>
        <w:spacing w:line="560" w:lineRule="exact"/>
        <w:ind w:firstLine="560" w:firstLineChars="200"/>
        <w:rPr>
          <w:rStyle w:val="7"/>
          <w:rFonts w:ascii="仿宋_GB2312" w:hAnsi="仿宋_GB2312" w:eastAsia="仿宋_GB2312" w:cs="仿宋_GB2312"/>
          <w:sz w:val="28"/>
          <w:szCs w:val="28"/>
        </w:rPr>
      </w:pPr>
      <w:r>
        <w:rPr>
          <w:rStyle w:val="7"/>
          <w:rFonts w:hint="eastAsia" w:ascii="仿宋_GB2312" w:hAnsi="仿宋_GB2312" w:eastAsia="仿宋_GB2312" w:cs="仿宋_GB2312"/>
          <w:sz w:val="28"/>
          <w:szCs w:val="28"/>
        </w:rPr>
        <w:t>坚持立德树人、推进三全育人，2023年继续全面提升研究生教育高质量。《基于“歌剧学院”建设的歌剧表演复合应用型研究生人才跨学科培养》（项目负责人：廖昌永教授）和《中国式音乐艺术专业博士人才培养体系创新与实践》（项目负责人：钱仁平教授），入选上海市教育委员会、上海市学位委员会2023年研究生教育改革项目。</w:t>
      </w:r>
    </w:p>
    <w:p w14:paraId="0107651B">
      <w:pPr>
        <w:spacing w:line="560" w:lineRule="exact"/>
        <w:ind w:firstLine="560" w:firstLineChars="200"/>
        <w:rPr>
          <w:rStyle w:val="7"/>
          <w:rFonts w:ascii="仿宋_GB2312" w:hAnsi="仿宋_GB2312" w:eastAsia="仿宋_GB2312" w:cs="仿宋_GB2312"/>
          <w:sz w:val="28"/>
          <w:szCs w:val="28"/>
        </w:rPr>
      </w:pPr>
      <w:r>
        <w:rPr>
          <w:rStyle w:val="7"/>
          <w:rFonts w:hint="eastAsia" w:ascii="仿宋_GB2312" w:hAnsi="仿宋_GB2312" w:eastAsia="仿宋_GB2312" w:cs="仿宋_GB2312"/>
          <w:sz w:val="28"/>
          <w:szCs w:val="28"/>
        </w:rPr>
        <w:t>2023年3月，有两位作曲指挥系博士研究生获批国家艺术进青年艺术创作人才资助项目。</w:t>
      </w:r>
    </w:p>
    <w:p w14:paraId="4FC4703E">
      <w:pPr>
        <w:spacing w:line="560" w:lineRule="exact"/>
        <w:ind w:firstLine="560" w:firstLineChars="200"/>
        <w:rPr>
          <w:rStyle w:val="7"/>
          <w:rFonts w:ascii="仿宋_GB2312" w:hAnsi="仿宋_GB2312" w:eastAsia="仿宋_GB2312" w:cs="仿宋_GB2312"/>
          <w:sz w:val="28"/>
          <w:szCs w:val="28"/>
        </w:rPr>
      </w:pPr>
      <w:r>
        <w:rPr>
          <w:rStyle w:val="7"/>
          <w:rFonts w:hint="eastAsia" w:ascii="仿宋_GB2312" w:hAnsi="仿宋_GB2312" w:eastAsia="仿宋_GB2312" w:cs="仿宋_GB2312"/>
          <w:sz w:val="28"/>
          <w:szCs w:val="28"/>
        </w:rPr>
        <w:t>2023年6月，上海音乐学院“作曲技术理论研究生人才培养模式创新与实践”获得国家级教学成果二等奖，上音成为全国音乐学院研究生教育赛道唯一获奖单位。成果此次获奖，是上音持续深化“教创演研一体化”人才培养模式，全面提升学生的综合素养，培养德艺双馨、红专兼备、国际视野、全面发展的拔尖创新艺术人才的集中体现。</w:t>
      </w:r>
    </w:p>
    <w:p w14:paraId="0C3D5B63">
      <w:pPr>
        <w:spacing w:line="560" w:lineRule="exact"/>
        <w:ind w:left="562"/>
        <w:rPr>
          <w:rFonts w:ascii="仿宋_GB2312" w:hAnsi="宋体" w:eastAsia="仿宋_GB2312" w:cs="宋体"/>
          <w:b/>
          <w:bCs/>
          <w:sz w:val="28"/>
          <w:szCs w:val="28"/>
        </w:rPr>
      </w:pPr>
      <w:r>
        <w:rPr>
          <w:rFonts w:hint="eastAsia" w:ascii="仿宋_GB2312" w:hAnsi="宋体" w:eastAsia="仿宋_GB2312" w:cs="宋体"/>
          <w:b/>
          <w:bCs/>
          <w:sz w:val="28"/>
          <w:szCs w:val="28"/>
        </w:rPr>
        <w:t>（二）</w:t>
      </w:r>
      <w:r>
        <w:rPr>
          <w:rFonts w:ascii="仿宋_GB2312" w:hAnsi="宋体" w:eastAsia="仿宋_GB2312" w:cs="宋体"/>
          <w:b/>
          <w:bCs/>
          <w:sz w:val="28"/>
          <w:szCs w:val="28"/>
        </w:rPr>
        <w:t>学生参加本领域国内外重要学术会议情况</w:t>
      </w:r>
    </w:p>
    <w:tbl>
      <w:tblPr>
        <w:tblStyle w:val="4"/>
        <w:tblW w:w="8789" w:type="dxa"/>
        <w:tblInd w:w="-176" w:type="dxa"/>
        <w:tblLayout w:type="autofit"/>
        <w:tblCellMar>
          <w:top w:w="0" w:type="dxa"/>
          <w:left w:w="108" w:type="dxa"/>
          <w:bottom w:w="0" w:type="dxa"/>
          <w:right w:w="108" w:type="dxa"/>
        </w:tblCellMar>
      </w:tblPr>
      <w:tblGrid>
        <w:gridCol w:w="1418"/>
        <w:gridCol w:w="1134"/>
        <w:gridCol w:w="3119"/>
        <w:gridCol w:w="3118"/>
      </w:tblGrid>
      <w:tr w14:paraId="7FA8DEBC">
        <w:tblPrEx>
          <w:tblCellMar>
            <w:top w:w="0" w:type="dxa"/>
            <w:left w:w="108" w:type="dxa"/>
            <w:bottom w:w="0" w:type="dxa"/>
            <w:right w:w="108" w:type="dxa"/>
          </w:tblCellMar>
        </w:tblPrEx>
        <w:trPr>
          <w:trHeight w:val="740" w:hRule="atLeast"/>
        </w:trPr>
        <w:tc>
          <w:tcPr>
            <w:tcW w:w="1418"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659B72B8">
            <w:pPr>
              <w:widowControl/>
              <w:jc w:val="center"/>
              <w:textAlignment w:val="center"/>
              <w:rPr>
                <w:rFonts w:ascii="仿宋_GB2312" w:hAnsi="方正仿宋_GB2312" w:eastAsia="仿宋_GB2312" w:cs="方正仿宋_GB2312"/>
                <w:b/>
                <w:bCs/>
                <w:color w:val="000000"/>
                <w:sz w:val="20"/>
                <w:szCs w:val="20"/>
              </w:rPr>
            </w:pPr>
            <w:r>
              <w:rPr>
                <w:rFonts w:hint="eastAsia" w:ascii="仿宋_GB2312" w:hAnsi="方正仿宋_GB2312" w:eastAsia="仿宋_GB2312" w:cs="方正仿宋_GB2312"/>
                <w:b/>
                <w:bCs/>
                <w:color w:val="000000"/>
                <w:kern w:val="0"/>
                <w:sz w:val="20"/>
                <w:szCs w:val="20"/>
                <w:lang w:bidi="ar"/>
              </w:rPr>
              <w:t>报告时间</w:t>
            </w:r>
          </w:p>
        </w:tc>
        <w:tc>
          <w:tcPr>
            <w:tcW w:w="1134"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6D9237C3">
            <w:pPr>
              <w:widowControl/>
              <w:jc w:val="center"/>
              <w:textAlignment w:val="center"/>
              <w:rPr>
                <w:rFonts w:ascii="仿宋_GB2312" w:hAnsi="方正仿宋_GB2312" w:eastAsia="仿宋_GB2312" w:cs="方正仿宋_GB2312"/>
                <w:b/>
                <w:bCs/>
                <w:color w:val="000000"/>
                <w:sz w:val="20"/>
                <w:szCs w:val="20"/>
              </w:rPr>
            </w:pPr>
            <w:r>
              <w:rPr>
                <w:rFonts w:hint="eastAsia" w:ascii="仿宋_GB2312" w:hAnsi="方正仿宋_GB2312" w:eastAsia="仿宋_GB2312" w:cs="方正仿宋_GB2312"/>
                <w:b/>
                <w:bCs/>
                <w:color w:val="000000"/>
                <w:kern w:val="0"/>
                <w:sz w:val="20"/>
                <w:szCs w:val="20"/>
                <w:lang w:bidi="ar"/>
              </w:rPr>
              <w:t>学生姓名</w:t>
            </w:r>
          </w:p>
        </w:tc>
        <w:tc>
          <w:tcPr>
            <w:tcW w:w="3119"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6679D7D9">
            <w:pPr>
              <w:widowControl/>
              <w:jc w:val="center"/>
              <w:textAlignment w:val="center"/>
              <w:rPr>
                <w:rFonts w:ascii="仿宋_GB2312" w:hAnsi="方正仿宋_GB2312" w:eastAsia="仿宋_GB2312" w:cs="方正仿宋_GB2312"/>
                <w:b/>
                <w:bCs/>
                <w:color w:val="000000"/>
                <w:sz w:val="20"/>
                <w:szCs w:val="20"/>
              </w:rPr>
            </w:pPr>
            <w:r>
              <w:rPr>
                <w:rFonts w:hint="eastAsia" w:ascii="仿宋_GB2312" w:hAnsi="方正仿宋_GB2312" w:eastAsia="仿宋_GB2312" w:cs="方正仿宋_GB2312"/>
                <w:b/>
                <w:bCs/>
                <w:color w:val="000000"/>
                <w:kern w:val="0"/>
                <w:sz w:val="20"/>
                <w:szCs w:val="20"/>
                <w:lang w:bidi="ar"/>
              </w:rPr>
              <w:t>会议名称</w:t>
            </w:r>
          </w:p>
        </w:tc>
        <w:tc>
          <w:tcPr>
            <w:tcW w:w="3118"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0FB4FF4C">
            <w:pPr>
              <w:widowControl/>
              <w:jc w:val="center"/>
              <w:textAlignment w:val="center"/>
              <w:rPr>
                <w:rFonts w:ascii="仿宋_GB2312" w:hAnsi="方正仿宋_GB2312" w:eastAsia="仿宋_GB2312" w:cs="方正仿宋_GB2312"/>
                <w:b/>
                <w:bCs/>
                <w:color w:val="000000"/>
                <w:sz w:val="20"/>
                <w:szCs w:val="20"/>
              </w:rPr>
            </w:pPr>
            <w:r>
              <w:rPr>
                <w:rFonts w:hint="eastAsia" w:ascii="仿宋_GB2312" w:hAnsi="方正仿宋_GB2312" w:eastAsia="仿宋_GB2312" w:cs="方正仿宋_GB2312"/>
                <w:b/>
                <w:bCs/>
                <w:color w:val="000000"/>
                <w:kern w:val="0"/>
                <w:sz w:val="20"/>
                <w:szCs w:val="20"/>
                <w:lang w:bidi="ar"/>
              </w:rPr>
              <w:t>报告题目</w:t>
            </w:r>
          </w:p>
        </w:tc>
      </w:tr>
      <w:tr w14:paraId="76276794">
        <w:tblPrEx>
          <w:tblCellMar>
            <w:top w:w="0" w:type="dxa"/>
            <w:left w:w="108" w:type="dxa"/>
            <w:bottom w:w="0" w:type="dxa"/>
            <w:right w:w="108" w:type="dxa"/>
          </w:tblCellMar>
        </w:tblPrEx>
        <w:trPr>
          <w:trHeight w:val="543" w:hRule="atLeast"/>
        </w:trPr>
        <w:tc>
          <w:tcPr>
            <w:tcW w:w="1418"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48F8D5A8">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2023/11/26</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1CCC75">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张琪若</w:t>
            </w:r>
          </w:p>
        </w:tc>
        <w:tc>
          <w:tcPr>
            <w:tcW w:w="31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C5475E">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w:t>
            </w:r>
            <w:r>
              <w:rPr>
                <w:rStyle w:val="10"/>
                <w:rFonts w:hint="default" w:ascii="仿宋_GB2312" w:hAnsi="方正仿宋_GB2312" w:eastAsia="仿宋_GB2312" w:cs="方正仿宋_GB2312"/>
                <w:lang w:bidi="ar"/>
              </w:rPr>
              <w:t>历史与当下：多元视野下的城市音乐研究</w:t>
            </w:r>
            <w:r>
              <w:rPr>
                <w:rStyle w:val="11"/>
                <w:rFonts w:hint="eastAsia" w:ascii="仿宋_GB2312" w:hAnsi="方正仿宋_GB2312" w:eastAsia="仿宋_GB2312" w:cs="方正仿宋_GB2312"/>
                <w:lang w:bidi="ar"/>
              </w:rPr>
              <w:t>”</w:t>
            </w:r>
            <w:r>
              <w:rPr>
                <w:rStyle w:val="10"/>
                <w:rFonts w:hint="default" w:ascii="仿宋_GB2312" w:hAnsi="方正仿宋_GB2312" w:eastAsia="仿宋_GB2312" w:cs="方正仿宋_GB2312"/>
                <w:lang w:bidi="ar"/>
              </w:rPr>
              <w:t>专题研讨会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1C8859">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《近代城市音乐文化背景下的</w:t>
            </w:r>
            <w:r>
              <w:rPr>
                <w:rStyle w:val="11"/>
                <w:rFonts w:hint="eastAsia" w:ascii="仿宋_GB2312" w:hAnsi="方正仿宋_GB2312" w:eastAsia="仿宋_GB2312" w:cs="方正仿宋_GB2312"/>
                <w:lang w:bidi="ar"/>
              </w:rPr>
              <w:t>“</w:t>
            </w:r>
            <w:r>
              <w:rPr>
                <w:rStyle w:val="10"/>
                <w:rFonts w:hint="default" w:ascii="仿宋_GB2312" w:hAnsi="方正仿宋_GB2312" w:eastAsia="仿宋_GB2312" w:cs="方正仿宋_GB2312"/>
                <w:lang w:bidi="ar"/>
              </w:rPr>
              <w:t>上海之莺</w:t>
            </w:r>
            <w:r>
              <w:rPr>
                <w:rStyle w:val="11"/>
                <w:rFonts w:hint="eastAsia" w:ascii="仿宋_GB2312" w:hAnsi="方正仿宋_GB2312" w:eastAsia="仿宋_GB2312" w:cs="方正仿宋_GB2312"/>
                <w:lang w:bidi="ar"/>
              </w:rPr>
              <w:t>”</w:t>
            </w:r>
            <w:r>
              <w:rPr>
                <w:rStyle w:val="10"/>
                <w:rFonts w:hint="default" w:ascii="仿宋_GB2312" w:hAnsi="方正仿宋_GB2312" w:eastAsia="仿宋_GB2312" w:cs="方正仿宋_GB2312"/>
                <w:lang w:bidi="ar"/>
              </w:rPr>
              <w:t>姚莉》</w:t>
            </w:r>
          </w:p>
        </w:tc>
      </w:tr>
      <w:tr w14:paraId="05A096FE">
        <w:tblPrEx>
          <w:tblCellMar>
            <w:top w:w="0" w:type="dxa"/>
            <w:left w:w="108" w:type="dxa"/>
            <w:bottom w:w="0" w:type="dxa"/>
            <w:right w:w="108" w:type="dxa"/>
          </w:tblCellMar>
        </w:tblPrEx>
        <w:trPr>
          <w:trHeight w:val="495" w:hRule="atLeast"/>
        </w:trPr>
        <w:tc>
          <w:tcPr>
            <w:tcW w:w="1418"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688F4797">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2023/11/18</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98340C">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张诗琪</w:t>
            </w:r>
          </w:p>
        </w:tc>
        <w:tc>
          <w:tcPr>
            <w:tcW w:w="31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646BEF">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中国原生民歌节研讨会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22378A">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上海地区东、西乡地区传统民歌实地考察访谈札记</w:t>
            </w:r>
          </w:p>
        </w:tc>
      </w:tr>
      <w:tr w14:paraId="038BC9A4">
        <w:tblPrEx>
          <w:tblCellMar>
            <w:top w:w="0" w:type="dxa"/>
            <w:left w:w="108" w:type="dxa"/>
            <w:bottom w:w="0" w:type="dxa"/>
            <w:right w:w="108" w:type="dxa"/>
          </w:tblCellMar>
        </w:tblPrEx>
        <w:trPr>
          <w:trHeight w:val="519" w:hRule="atLeast"/>
        </w:trPr>
        <w:tc>
          <w:tcPr>
            <w:tcW w:w="1418"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0336A984">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2023/10/21</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7DBE01">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龚梓勋</w:t>
            </w:r>
          </w:p>
        </w:tc>
        <w:tc>
          <w:tcPr>
            <w:tcW w:w="31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978BF1">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w:t>
            </w:r>
            <w:r>
              <w:rPr>
                <w:rStyle w:val="10"/>
                <w:rFonts w:hint="default" w:ascii="仿宋_GB2312" w:hAnsi="方正仿宋_GB2312" w:eastAsia="仿宋_GB2312" w:cs="方正仿宋_GB2312"/>
                <w:lang w:bidi="ar"/>
              </w:rPr>
              <w:t>哈尔滨</w:t>
            </w:r>
            <w:r>
              <w:rPr>
                <w:rStyle w:val="11"/>
                <w:rFonts w:hint="eastAsia" w:ascii="仿宋_GB2312" w:hAnsi="方正仿宋_GB2312" w:eastAsia="仿宋_GB2312" w:cs="方正仿宋_GB2312"/>
                <w:lang w:bidi="ar"/>
              </w:rPr>
              <w:t xml:space="preserve"> </w:t>
            </w:r>
            <w:r>
              <w:rPr>
                <w:rStyle w:val="10"/>
                <w:rFonts w:hint="default" w:ascii="仿宋_GB2312" w:hAnsi="方正仿宋_GB2312" w:eastAsia="仿宋_GB2312" w:cs="方正仿宋_GB2312"/>
                <w:lang w:bidi="ar"/>
              </w:rPr>
              <w:t>中国音乐家协会西方音乐学会第七届年会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4E6F8E">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《探析舒曼＜狂欢节</w:t>
            </w:r>
            <w:r>
              <w:rPr>
                <w:rStyle w:val="11"/>
                <w:rFonts w:hint="eastAsia" w:ascii="仿宋_GB2312" w:hAnsi="方正仿宋_GB2312" w:eastAsia="仿宋_GB2312" w:cs="方正仿宋_GB2312"/>
                <w:lang w:bidi="ar"/>
              </w:rPr>
              <w:t>&gt;</w:t>
            </w:r>
            <w:r>
              <w:rPr>
                <w:rStyle w:val="10"/>
                <w:rFonts w:hint="default" w:ascii="仿宋_GB2312" w:hAnsi="方正仿宋_GB2312" w:eastAsia="仿宋_GB2312" w:cs="方正仿宋_GB2312"/>
                <w:lang w:bidi="ar"/>
              </w:rPr>
              <w:t>的音乐叙事》</w:t>
            </w:r>
          </w:p>
        </w:tc>
      </w:tr>
      <w:tr w14:paraId="03E239D4">
        <w:tblPrEx>
          <w:tblCellMar>
            <w:top w:w="0" w:type="dxa"/>
            <w:left w:w="108" w:type="dxa"/>
            <w:bottom w:w="0" w:type="dxa"/>
            <w:right w:w="108" w:type="dxa"/>
          </w:tblCellMar>
        </w:tblPrEx>
        <w:trPr>
          <w:trHeight w:val="543" w:hRule="atLeast"/>
        </w:trPr>
        <w:tc>
          <w:tcPr>
            <w:tcW w:w="1418"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25D6F8E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2023/10/22</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592621">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岳美辰</w:t>
            </w:r>
          </w:p>
        </w:tc>
        <w:tc>
          <w:tcPr>
            <w:tcW w:w="31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5813A9">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第三届</w:t>
            </w:r>
            <w:r>
              <w:rPr>
                <w:rStyle w:val="11"/>
                <w:rFonts w:hint="eastAsia" w:ascii="仿宋_GB2312" w:hAnsi="方正仿宋_GB2312" w:eastAsia="仿宋_GB2312" w:cs="方正仿宋_GB2312"/>
                <w:lang w:bidi="ar"/>
              </w:rPr>
              <w:t>“</w:t>
            </w:r>
            <w:r>
              <w:rPr>
                <w:rStyle w:val="10"/>
                <w:rFonts w:hint="default" w:ascii="仿宋_GB2312" w:hAnsi="方正仿宋_GB2312" w:eastAsia="仿宋_GB2312" w:cs="方正仿宋_GB2312"/>
                <w:lang w:bidi="ar"/>
              </w:rPr>
              <w:t>碰撞与交汇</w:t>
            </w:r>
            <w:r>
              <w:rPr>
                <w:rStyle w:val="11"/>
                <w:rFonts w:hint="eastAsia" w:ascii="仿宋_GB2312" w:hAnsi="方正仿宋_GB2312" w:eastAsia="仿宋_GB2312" w:cs="方正仿宋_GB2312"/>
                <w:lang w:bidi="ar"/>
              </w:rPr>
              <w:t>:</w:t>
            </w:r>
            <w:r>
              <w:rPr>
                <w:rStyle w:val="10"/>
                <w:rFonts w:hint="default" w:ascii="仿宋_GB2312" w:hAnsi="方正仿宋_GB2312" w:eastAsia="仿宋_GB2312" w:cs="方正仿宋_GB2312"/>
                <w:lang w:bidi="ar"/>
              </w:rPr>
              <w:t>全球视野下的中国音乐当代研究国际学术研讨会</w:t>
            </w:r>
            <w:r>
              <w:rPr>
                <w:rStyle w:val="11"/>
                <w:rFonts w:hint="eastAsia" w:ascii="仿宋_GB2312" w:hAnsi="方正仿宋_GB2312" w:eastAsia="仿宋_GB2312" w:cs="方正仿宋_GB2312"/>
                <w:lang w:bidi="ar"/>
              </w:rPr>
              <w:t>”</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2B44CC">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从琵琶文曲的传统基因</w:t>
            </w:r>
            <w:r>
              <w:rPr>
                <w:rStyle w:val="11"/>
                <w:rFonts w:hint="eastAsia" w:ascii="仿宋_GB2312" w:hAnsi="方正仿宋_GB2312" w:eastAsia="仿宋_GB2312" w:cs="方正仿宋_GB2312"/>
                <w:lang w:bidi="ar"/>
              </w:rPr>
              <w:t xml:space="preserve"> </w:t>
            </w:r>
            <w:r>
              <w:rPr>
                <w:rStyle w:val="10"/>
                <w:rFonts w:hint="default" w:ascii="仿宋_GB2312" w:hAnsi="方正仿宋_GB2312" w:eastAsia="仿宋_GB2312" w:cs="方正仿宋_GB2312"/>
                <w:lang w:bidi="ar"/>
              </w:rPr>
              <w:t>到当代音乐创作的人文精神传承</w:t>
            </w:r>
          </w:p>
        </w:tc>
      </w:tr>
      <w:tr w14:paraId="763C6C65">
        <w:tblPrEx>
          <w:tblCellMar>
            <w:top w:w="0" w:type="dxa"/>
            <w:left w:w="108" w:type="dxa"/>
            <w:bottom w:w="0" w:type="dxa"/>
            <w:right w:w="108" w:type="dxa"/>
          </w:tblCellMar>
        </w:tblPrEx>
        <w:trPr>
          <w:trHeight w:val="519" w:hRule="atLeast"/>
        </w:trPr>
        <w:tc>
          <w:tcPr>
            <w:tcW w:w="1418"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170AA02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2023/5/5</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48CBF3">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史若凡</w:t>
            </w:r>
          </w:p>
        </w:tc>
        <w:tc>
          <w:tcPr>
            <w:tcW w:w="31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70C065">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第五届长安音乐与舞蹈学博士论坛</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E9D5BA">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民族主义意识的回归</w:t>
            </w:r>
            <w:r>
              <w:rPr>
                <w:rStyle w:val="11"/>
                <w:rFonts w:hint="eastAsia" w:ascii="仿宋_GB2312" w:hAnsi="方正仿宋_GB2312" w:eastAsia="仿宋_GB2312" w:cs="方正仿宋_GB2312"/>
                <w:lang w:bidi="ar"/>
              </w:rPr>
              <w:t>-</w:t>
            </w:r>
            <w:r>
              <w:rPr>
                <w:rStyle w:val="10"/>
                <w:rFonts w:hint="default" w:ascii="仿宋_GB2312" w:hAnsi="方正仿宋_GB2312" w:eastAsia="仿宋_GB2312" w:cs="方正仿宋_GB2312"/>
                <w:lang w:bidi="ar"/>
              </w:rPr>
              <w:t>德彪西晚期作品《大提琴与钢琴奏鸣曲》的法国特征</w:t>
            </w:r>
          </w:p>
        </w:tc>
      </w:tr>
      <w:tr w14:paraId="1856534C">
        <w:tblPrEx>
          <w:tblCellMar>
            <w:top w:w="0" w:type="dxa"/>
            <w:left w:w="108" w:type="dxa"/>
            <w:bottom w:w="0" w:type="dxa"/>
            <w:right w:w="108" w:type="dxa"/>
          </w:tblCellMar>
        </w:tblPrEx>
        <w:trPr>
          <w:trHeight w:val="543" w:hRule="atLeast"/>
        </w:trPr>
        <w:tc>
          <w:tcPr>
            <w:tcW w:w="1418"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0A47B27C">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2023/9/17</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905C95">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史若凡</w:t>
            </w:r>
          </w:p>
        </w:tc>
        <w:tc>
          <w:tcPr>
            <w:tcW w:w="31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A45AA1">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上海音乐学院《大型复杂曲式》课程教学与研究学术研讨会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854ED8">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归纳</w:t>
            </w:r>
            <w:r>
              <w:rPr>
                <w:rStyle w:val="11"/>
                <w:rFonts w:hint="eastAsia" w:ascii="仿宋_GB2312" w:hAnsi="方正仿宋_GB2312" w:eastAsia="仿宋_GB2312" w:cs="方正仿宋_GB2312"/>
                <w:lang w:bidi="ar"/>
              </w:rPr>
              <w:t xml:space="preserve"> </w:t>
            </w:r>
            <w:r>
              <w:rPr>
                <w:rStyle w:val="10"/>
                <w:rFonts w:hint="default" w:ascii="仿宋_GB2312" w:hAnsi="方正仿宋_GB2312" w:eastAsia="仿宋_GB2312" w:cs="方正仿宋_GB2312"/>
                <w:lang w:bidi="ar"/>
              </w:rPr>
              <w:t>拆解</w:t>
            </w:r>
            <w:r>
              <w:rPr>
                <w:rStyle w:val="11"/>
                <w:rFonts w:hint="eastAsia" w:ascii="仿宋_GB2312" w:hAnsi="方正仿宋_GB2312" w:eastAsia="仿宋_GB2312" w:cs="方正仿宋_GB2312"/>
                <w:lang w:bidi="ar"/>
              </w:rPr>
              <w:t xml:space="preserve"> </w:t>
            </w:r>
            <w:r>
              <w:rPr>
                <w:rStyle w:val="10"/>
                <w:rFonts w:hint="default" w:ascii="仿宋_GB2312" w:hAnsi="方正仿宋_GB2312" w:eastAsia="仿宋_GB2312" w:cs="方正仿宋_GB2312"/>
                <w:lang w:bidi="ar"/>
              </w:rPr>
              <w:t>思辨</w:t>
            </w:r>
            <w:r>
              <w:rPr>
                <w:rStyle w:val="11"/>
                <w:rFonts w:hint="eastAsia" w:ascii="仿宋_GB2312" w:hAnsi="方正仿宋_GB2312" w:eastAsia="仿宋_GB2312" w:cs="方正仿宋_GB2312"/>
                <w:lang w:bidi="ar"/>
              </w:rPr>
              <w:t>-</w:t>
            </w:r>
            <w:r>
              <w:rPr>
                <w:rStyle w:val="10"/>
                <w:rFonts w:hint="default" w:ascii="仿宋_GB2312" w:hAnsi="方正仿宋_GB2312" w:eastAsia="仿宋_GB2312" w:cs="方正仿宋_GB2312"/>
                <w:lang w:bidi="ar"/>
              </w:rPr>
              <w:t>上海音乐学院</w:t>
            </w:r>
            <w:r>
              <w:rPr>
                <w:rStyle w:val="11"/>
                <w:rFonts w:hint="eastAsia" w:ascii="仿宋_GB2312" w:hAnsi="方正仿宋_GB2312" w:eastAsia="仿宋_GB2312" w:cs="方正仿宋_GB2312"/>
                <w:lang w:bidi="ar"/>
              </w:rPr>
              <w:t>“</w:t>
            </w:r>
            <w:r>
              <w:rPr>
                <w:rStyle w:val="10"/>
                <w:rFonts w:hint="default" w:ascii="仿宋_GB2312" w:hAnsi="方正仿宋_GB2312" w:eastAsia="仿宋_GB2312" w:cs="方正仿宋_GB2312"/>
                <w:lang w:bidi="ar"/>
              </w:rPr>
              <w:t>大型复杂曲式研究</w:t>
            </w:r>
            <w:r>
              <w:rPr>
                <w:rStyle w:val="11"/>
                <w:rFonts w:hint="eastAsia" w:ascii="仿宋_GB2312" w:hAnsi="方正仿宋_GB2312" w:eastAsia="仿宋_GB2312" w:cs="方正仿宋_GB2312"/>
                <w:lang w:bidi="ar"/>
              </w:rPr>
              <w:t>”</w:t>
            </w:r>
            <w:r>
              <w:rPr>
                <w:rStyle w:val="10"/>
                <w:rFonts w:hint="default" w:ascii="仿宋_GB2312" w:hAnsi="方正仿宋_GB2312" w:eastAsia="仿宋_GB2312" w:cs="方正仿宋_GB2312"/>
                <w:lang w:bidi="ar"/>
              </w:rPr>
              <w:t>课程教学观念之反思</w:t>
            </w:r>
          </w:p>
        </w:tc>
      </w:tr>
      <w:tr w14:paraId="7D1EC953">
        <w:tblPrEx>
          <w:tblCellMar>
            <w:top w:w="0" w:type="dxa"/>
            <w:left w:w="108" w:type="dxa"/>
            <w:bottom w:w="0" w:type="dxa"/>
            <w:right w:w="108" w:type="dxa"/>
          </w:tblCellMar>
        </w:tblPrEx>
        <w:trPr>
          <w:trHeight w:val="495" w:hRule="atLeast"/>
        </w:trPr>
        <w:tc>
          <w:tcPr>
            <w:tcW w:w="1418"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65EB5044">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2023/10/20</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967BE9">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史若凡</w:t>
            </w:r>
          </w:p>
        </w:tc>
        <w:tc>
          <w:tcPr>
            <w:tcW w:w="31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3965DA">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中国音乐家协会西方音乐学会第七届年会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BB4BD4">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从后贝多芬时代交响曲危机审视勃拉姆斯《第一交响曲》创作策略</w:t>
            </w:r>
          </w:p>
        </w:tc>
      </w:tr>
      <w:tr w14:paraId="3C649F8A">
        <w:tblPrEx>
          <w:tblCellMar>
            <w:top w:w="0" w:type="dxa"/>
            <w:left w:w="108" w:type="dxa"/>
            <w:bottom w:w="0" w:type="dxa"/>
            <w:right w:w="108" w:type="dxa"/>
          </w:tblCellMar>
        </w:tblPrEx>
        <w:trPr>
          <w:trHeight w:val="519" w:hRule="atLeast"/>
        </w:trPr>
        <w:tc>
          <w:tcPr>
            <w:tcW w:w="1418"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007E9FD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2023/10/22</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387D2C">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周少聪</w:t>
            </w:r>
          </w:p>
        </w:tc>
        <w:tc>
          <w:tcPr>
            <w:tcW w:w="31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40D546">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w:t>
            </w:r>
            <w:r>
              <w:rPr>
                <w:rStyle w:val="10"/>
                <w:rFonts w:hint="default" w:ascii="仿宋_GB2312" w:hAnsi="方正仿宋_GB2312" w:eastAsia="仿宋_GB2312" w:cs="方正仿宋_GB2312"/>
                <w:lang w:bidi="ar"/>
              </w:rPr>
              <w:t>碰撞与交汇</w:t>
            </w:r>
            <w:r>
              <w:rPr>
                <w:rStyle w:val="11"/>
                <w:rFonts w:hint="eastAsia" w:ascii="仿宋_GB2312" w:hAnsi="方正仿宋_GB2312" w:eastAsia="仿宋_GB2312" w:cs="方正仿宋_GB2312"/>
                <w:lang w:bidi="ar"/>
              </w:rPr>
              <w:t>”</w:t>
            </w:r>
            <w:r>
              <w:rPr>
                <w:rStyle w:val="10"/>
                <w:rFonts w:hint="default" w:ascii="仿宋_GB2312" w:hAnsi="方正仿宋_GB2312" w:eastAsia="仿宋_GB2312" w:cs="方正仿宋_GB2312"/>
                <w:lang w:bidi="ar"/>
              </w:rPr>
              <w:t>第三届全球视野下的中国音乐当代研究国际学术会议</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9B668C">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《秦腔、晋剧音乐元素对赵季平管弦乐作品的影响》</w:t>
            </w:r>
          </w:p>
        </w:tc>
      </w:tr>
      <w:tr w14:paraId="03F26759">
        <w:tblPrEx>
          <w:tblCellMar>
            <w:top w:w="0" w:type="dxa"/>
            <w:left w:w="108" w:type="dxa"/>
            <w:bottom w:w="0" w:type="dxa"/>
            <w:right w:w="108" w:type="dxa"/>
          </w:tblCellMar>
        </w:tblPrEx>
        <w:trPr>
          <w:trHeight w:val="735" w:hRule="atLeast"/>
        </w:trPr>
        <w:tc>
          <w:tcPr>
            <w:tcW w:w="1418"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51804C27">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2023/12/5</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AD3BBA">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周少聪</w:t>
            </w:r>
          </w:p>
        </w:tc>
        <w:tc>
          <w:tcPr>
            <w:tcW w:w="31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60EDFB">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中国当代音乐研究与发展中心成立二十周年暨作曲技术理论与中国当代音乐创作研究学术研讨会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EBD5CD">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《隐匿在赵季平管弦乐作品中的秦腔与晋剧》</w:t>
            </w:r>
          </w:p>
        </w:tc>
      </w:tr>
      <w:tr w14:paraId="5667A5FA">
        <w:tblPrEx>
          <w:tblCellMar>
            <w:top w:w="0" w:type="dxa"/>
            <w:left w:w="108" w:type="dxa"/>
            <w:bottom w:w="0" w:type="dxa"/>
            <w:right w:w="108" w:type="dxa"/>
          </w:tblCellMar>
        </w:tblPrEx>
        <w:trPr>
          <w:trHeight w:val="807" w:hRule="atLeast"/>
        </w:trPr>
        <w:tc>
          <w:tcPr>
            <w:tcW w:w="1418"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2D0D04FB">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2023/10/3</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5E2B53">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曹艺佳</w:t>
            </w:r>
          </w:p>
        </w:tc>
        <w:tc>
          <w:tcPr>
            <w:tcW w:w="31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84DEBF">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w:t>
            </w:r>
            <w:r>
              <w:rPr>
                <w:rStyle w:val="11"/>
                <w:rFonts w:hint="eastAsia" w:ascii="仿宋_GB2312" w:hAnsi="方正仿宋_GB2312" w:eastAsia="仿宋_GB2312" w:cs="方正仿宋_GB2312"/>
                <w:lang w:bidi="ar"/>
              </w:rPr>
              <w:t>25</w:t>
            </w:r>
            <w:r>
              <w:rPr>
                <w:rStyle w:val="10"/>
                <w:rFonts w:hint="default" w:ascii="仿宋_GB2312" w:hAnsi="方正仿宋_GB2312" w:eastAsia="仿宋_GB2312" w:cs="方正仿宋_GB2312"/>
                <w:lang w:bidi="ar"/>
              </w:rPr>
              <w:t>届国际</w:t>
            </w:r>
            <w:r>
              <w:rPr>
                <w:rStyle w:val="11"/>
                <w:rFonts w:hint="eastAsia" w:ascii="仿宋_GB2312" w:hAnsi="方正仿宋_GB2312" w:eastAsia="仿宋_GB2312" w:cs="方正仿宋_GB2312"/>
                <w:lang w:bidi="ar"/>
              </w:rPr>
              <w:t>CHIME</w:t>
            </w:r>
            <w:r>
              <w:rPr>
                <w:rStyle w:val="10"/>
                <w:rFonts w:hint="default" w:ascii="仿宋_GB2312" w:hAnsi="方正仿宋_GB2312" w:eastAsia="仿宋_GB2312" w:cs="方正仿宋_GB2312"/>
                <w:lang w:bidi="ar"/>
              </w:rPr>
              <w:t>会议</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3A5693">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From Rural Stage to Urban Theatre: The Development of Local Mu Opera in Contrmporary China</w:t>
            </w:r>
          </w:p>
        </w:tc>
      </w:tr>
      <w:tr w14:paraId="7DA9D107">
        <w:tblPrEx>
          <w:tblCellMar>
            <w:top w:w="0" w:type="dxa"/>
            <w:left w:w="108" w:type="dxa"/>
            <w:bottom w:w="0" w:type="dxa"/>
            <w:right w:w="108" w:type="dxa"/>
          </w:tblCellMar>
        </w:tblPrEx>
        <w:trPr>
          <w:trHeight w:val="495" w:hRule="atLeast"/>
        </w:trPr>
        <w:tc>
          <w:tcPr>
            <w:tcW w:w="1418"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2170E07B">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2023/3/29</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F72AC3">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钟情</w:t>
            </w:r>
          </w:p>
        </w:tc>
        <w:tc>
          <w:tcPr>
            <w:tcW w:w="31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2EFDE1">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第二届中国音乐影像志学科建设学生论坛</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228E1E">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田野工作中特殊的观察视角</w:t>
            </w:r>
            <w:r>
              <w:rPr>
                <w:rStyle w:val="11"/>
                <w:rFonts w:hint="eastAsia" w:ascii="仿宋_GB2312" w:hAnsi="方正仿宋_GB2312" w:eastAsia="仿宋_GB2312" w:cs="方正仿宋_GB2312"/>
                <w:lang w:bidi="ar"/>
              </w:rPr>
              <w:t>——“</w:t>
            </w:r>
            <w:r>
              <w:rPr>
                <w:rStyle w:val="10"/>
                <w:rFonts w:hint="default" w:ascii="仿宋_GB2312" w:hAnsi="方正仿宋_GB2312" w:eastAsia="仿宋_GB2312" w:cs="方正仿宋_GB2312"/>
                <w:lang w:bidi="ar"/>
              </w:rPr>
              <w:t>返观</w:t>
            </w:r>
            <w:r>
              <w:rPr>
                <w:rStyle w:val="11"/>
                <w:rFonts w:hint="eastAsia" w:ascii="仿宋_GB2312" w:hAnsi="方正仿宋_GB2312" w:eastAsia="仿宋_GB2312" w:cs="方正仿宋_GB2312"/>
                <w:lang w:bidi="ar"/>
              </w:rPr>
              <w:t>”</w:t>
            </w:r>
          </w:p>
        </w:tc>
      </w:tr>
      <w:tr w14:paraId="36072863">
        <w:tblPrEx>
          <w:tblCellMar>
            <w:top w:w="0" w:type="dxa"/>
            <w:left w:w="108" w:type="dxa"/>
            <w:bottom w:w="0" w:type="dxa"/>
            <w:right w:w="108" w:type="dxa"/>
          </w:tblCellMar>
        </w:tblPrEx>
        <w:trPr>
          <w:trHeight w:val="519" w:hRule="atLeast"/>
        </w:trPr>
        <w:tc>
          <w:tcPr>
            <w:tcW w:w="1418"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2DD644A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2023/12/5</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95D401">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张怡霏</w:t>
            </w:r>
          </w:p>
        </w:tc>
        <w:tc>
          <w:tcPr>
            <w:tcW w:w="31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595B08">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纪念饶余燕先生诞辰</w:t>
            </w:r>
            <w:r>
              <w:rPr>
                <w:rStyle w:val="11"/>
                <w:rFonts w:hint="eastAsia" w:ascii="仿宋_GB2312" w:hAnsi="方正仿宋_GB2312" w:eastAsia="仿宋_GB2312" w:cs="方正仿宋_GB2312"/>
                <w:lang w:bidi="ar"/>
              </w:rPr>
              <w:t>90</w:t>
            </w:r>
            <w:r>
              <w:rPr>
                <w:rStyle w:val="10"/>
                <w:rFonts w:hint="default" w:ascii="仿宋_GB2312" w:hAnsi="方正仿宋_GB2312" w:eastAsia="仿宋_GB2312" w:cs="方正仿宋_GB2312"/>
                <w:lang w:bidi="ar"/>
              </w:rPr>
              <w:t>周年学术研讨会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75D17C">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从钢琴到乐队</w:t>
            </w:r>
            <w:r>
              <w:rPr>
                <w:rStyle w:val="11"/>
                <w:rFonts w:hint="eastAsia" w:ascii="仿宋_GB2312" w:hAnsi="方正仿宋_GB2312" w:eastAsia="仿宋_GB2312" w:cs="方正仿宋_GB2312"/>
                <w:lang w:bidi="ar"/>
              </w:rPr>
              <w:t>-</w:t>
            </w:r>
            <w:r>
              <w:rPr>
                <w:rStyle w:val="10"/>
                <w:rFonts w:hint="default" w:ascii="仿宋_GB2312" w:hAnsi="方正仿宋_GB2312" w:eastAsia="仿宋_GB2312" w:cs="方正仿宋_GB2312"/>
                <w:lang w:bidi="ar"/>
              </w:rPr>
              <w:t>饶余燕配器中的线性思维研究</w:t>
            </w:r>
          </w:p>
        </w:tc>
      </w:tr>
      <w:tr w14:paraId="0EC7FC18">
        <w:tblPrEx>
          <w:tblCellMar>
            <w:top w:w="0" w:type="dxa"/>
            <w:left w:w="108" w:type="dxa"/>
            <w:bottom w:w="0" w:type="dxa"/>
            <w:right w:w="108" w:type="dxa"/>
          </w:tblCellMar>
        </w:tblPrEx>
        <w:trPr>
          <w:trHeight w:val="543" w:hRule="atLeast"/>
        </w:trPr>
        <w:tc>
          <w:tcPr>
            <w:tcW w:w="1418"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35D1E6F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2023/10/3</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CCDE97">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林雅仪</w:t>
            </w:r>
          </w:p>
        </w:tc>
        <w:tc>
          <w:tcPr>
            <w:tcW w:w="31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FD4A19">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w:t>
            </w:r>
            <w:r>
              <w:rPr>
                <w:rStyle w:val="11"/>
                <w:rFonts w:hint="eastAsia" w:ascii="仿宋_GB2312" w:hAnsi="方正仿宋_GB2312" w:eastAsia="仿宋_GB2312" w:cs="方正仿宋_GB2312"/>
                <w:lang w:bidi="ar"/>
              </w:rPr>
              <w:t>25</w:t>
            </w:r>
            <w:r>
              <w:rPr>
                <w:rStyle w:val="10"/>
                <w:rFonts w:hint="default" w:ascii="仿宋_GB2312" w:hAnsi="方正仿宋_GB2312" w:eastAsia="仿宋_GB2312" w:cs="方正仿宋_GB2312"/>
                <w:lang w:bidi="ar"/>
              </w:rPr>
              <w:t>届</w:t>
            </w:r>
            <w:r>
              <w:rPr>
                <w:rStyle w:val="11"/>
                <w:rFonts w:hint="eastAsia" w:ascii="仿宋_GB2312" w:hAnsi="方正仿宋_GB2312" w:eastAsia="仿宋_GB2312" w:cs="方正仿宋_GB2312"/>
                <w:lang w:bidi="ar"/>
              </w:rPr>
              <w:t>CHIME</w:t>
            </w:r>
            <w:r>
              <w:rPr>
                <w:rStyle w:val="10"/>
                <w:rFonts w:hint="default" w:ascii="仿宋_GB2312" w:hAnsi="方正仿宋_GB2312" w:eastAsia="仿宋_GB2312" w:cs="方正仿宋_GB2312"/>
                <w:lang w:bidi="ar"/>
              </w:rPr>
              <w:t>国际学术会议</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1E44B6">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Words, music and meanings of today's Wenzhou guci</w:t>
            </w:r>
          </w:p>
        </w:tc>
      </w:tr>
      <w:tr w14:paraId="7B367BB5">
        <w:tblPrEx>
          <w:tblCellMar>
            <w:top w:w="0" w:type="dxa"/>
            <w:left w:w="108" w:type="dxa"/>
            <w:bottom w:w="0" w:type="dxa"/>
            <w:right w:w="108" w:type="dxa"/>
          </w:tblCellMar>
        </w:tblPrEx>
        <w:trPr>
          <w:trHeight w:val="519" w:hRule="atLeast"/>
        </w:trPr>
        <w:tc>
          <w:tcPr>
            <w:tcW w:w="1418"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3E9787A6">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2023/11/12</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3D9B83">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王乒乒</w:t>
            </w:r>
          </w:p>
        </w:tc>
        <w:tc>
          <w:tcPr>
            <w:tcW w:w="31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B763DF">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明清音乐戏剧研讨会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24C632">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雅俗共存，崇雅贬俗</w:t>
            </w:r>
            <w:r>
              <w:rPr>
                <w:rStyle w:val="11"/>
                <w:rFonts w:hint="eastAsia" w:ascii="仿宋_GB2312" w:hAnsi="方正仿宋_GB2312" w:eastAsia="仿宋_GB2312" w:cs="方正仿宋_GB2312"/>
                <w:lang w:bidi="ar"/>
              </w:rPr>
              <w:t>——</w:t>
            </w:r>
            <w:r>
              <w:rPr>
                <w:rStyle w:val="10"/>
                <w:rFonts w:hint="default" w:ascii="仿宋_GB2312" w:hAnsi="方正仿宋_GB2312" w:eastAsia="仿宋_GB2312" w:cs="方正仿宋_GB2312"/>
                <w:lang w:bidi="ar"/>
              </w:rPr>
              <w:t>明代永嘉文人音乐史料考析</w:t>
            </w:r>
          </w:p>
        </w:tc>
      </w:tr>
      <w:tr w14:paraId="30F79C85">
        <w:tblPrEx>
          <w:tblCellMar>
            <w:top w:w="0" w:type="dxa"/>
            <w:left w:w="108" w:type="dxa"/>
            <w:bottom w:w="0" w:type="dxa"/>
            <w:right w:w="108" w:type="dxa"/>
          </w:tblCellMar>
        </w:tblPrEx>
        <w:trPr>
          <w:trHeight w:val="519" w:hRule="atLeast"/>
        </w:trPr>
        <w:tc>
          <w:tcPr>
            <w:tcW w:w="1418"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568B851A">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2023/11/21</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A0D7C9">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王乒乒</w:t>
            </w:r>
          </w:p>
        </w:tc>
        <w:tc>
          <w:tcPr>
            <w:tcW w:w="31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B96F9E">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首届青年古琴学术研讨会暨中国琴学专题讲座</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7E3172">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兴于仕，聚于名</w:t>
            </w:r>
            <w:r>
              <w:rPr>
                <w:rStyle w:val="11"/>
                <w:rFonts w:hint="eastAsia" w:ascii="仿宋_GB2312" w:hAnsi="方正仿宋_GB2312" w:eastAsia="仿宋_GB2312" w:cs="方正仿宋_GB2312"/>
                <w:lang w:bidi="ar"/>
              </w:rPr>
              <w:t>——</w:t>
            </w:r>
            <w:r>
              <w:rPr>
                <w:rStyle w:val="10"/>
                <w:rFonts w:hint="default" w:ascii="仿宋_GB2312" w:hAnsi="方正仿宋_GB2312" w:eastAsia="仿宋_GB2312" w:cs="方正仿宋_GB2312"/>
                <w:lang w:bidi="ar"/>
              </w:rPr>
              <w:t>宋代永嘉琴人史料考析</w:t>
            </w:r>
          </w:p>
        </w:tc>
      </w:tr>
      <w:tr w14:paraId="4040CCBD">
        <w:tblPrEx>
          <w:tblCellMar>
            <w:top w:w="0" w:type="dxa"/>
            <w:left w:w="108" w:type="dxa"/>
            <w:bottom w:w="0" w:type="dxa"/>
            <w:right w:w="108" w:type="dxa"/>
          </w:tblCellMar>
        </w:tblPrEx>
        <w:trPr>
          <w:trHeight w:val="519" w:hRule="atLeast"/>
        </w:trPr>
        <w:tc>
          <w:tcPr>
            <w:tcW w:w="1418"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121A1BD8">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2023/12/7</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A62B9">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王乒乒</w:t>
            </w:r>
          </w:p>
        </w:tc>
        <w:tc>
          <w:tcPr>
            <w:tcW w:w="31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AE3C33">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琴学专题研讨会今昔与未来</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3BCAE9">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试论永嘉琴人群体中的名仕效应</w:t>
            </w:r>
            <w:r>
              <w:rPr>
                <w:rStyle w:val="11"/>
                <w:rFonts w:hint="eastAsia" w:ascii="仿宋_GB2312" w:hAnsi="方正仿宋_GB2312" w:eastAsia="仿宋_GB2312" w:cs="方正仿宋_GB2312"/>
                <w:lang w:bidi="ar"/>
              </w:rPr>
              <w:t>——</w:t>
            </w:r>
            <w:r>
              <w:rPr>
                <w:rStyle w:val="10"/>
                <w:rFonts w:hint="default" w:ascii="仿宋_GB2312" w:hAnsi="方正仿宋_GB2312" w:eastAsia="仿宋_GB2312" w:cs="方正仿宋_GB2312"/>
                <w:lang w:bidi="ar"/>
              </w:rPr>
              <w:t>宋元明清永嘉琴人史料考辨</w:t>
            </w:r>
          </w:p>
        </w:tc>
      </w:tr>
      <w:tr w14:paraId="628ED606">
        <w:tblPrEx>
          <w:tblCellMar>
            <w:top w:w="0" w:type="dxa"/>
            <w:left w:w="108" w:type="dxa"/>
            <w:bottom w:w="0" w:type="dxa"/>
            <w:right w:w="108" w:type="dxa"/>
          </w:tblCellMar>
        </w:tblPrEx>
        <w:trPr>
          <w:trHeight w:val="495" w:hRule="atLeast"/>
        </w:trPr>
        <w:tc>
          <w:tcPr>
            <w:tcW w:w="1418"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0494A454">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2023/12/7</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187A85">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李林</w:t>
            </w:r>
          </w:p>
        </w:tc>
        <w:tc>
          <w:tcPr>
            <w:tcW w:w="31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E563FC">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琴学专题研讨会：今夕与未来</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D622EF">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从《洞庭秋思》看《希韶阁琴瑟合谱》非正调琴瑟谱的琴瑟移柱</w:t>
            </w:r>
          </w:p>
        </w:tc>
      </w:tr>
      <w:tr w14:paraId="7EB57F5C">
        <w:tblPrEx>
          <w:tblCellMar>
            <w:top w:w="0" w:type="dxa"/>
            <w:left w:w="108" w:type="dxa"/>
            <w:bottom w:w="0" w:type="dxa"/>
            <w:right w:w="108" w:type="dxa"/>
          </w:tblCellMar>
        </w:tblPrEx>
        <w:trPr>
          <w:trHeight w:val="495" w:hRule="atLeast"/>
        </w:trPr>
        <w:tc>
          <w:tcPr>
            <w:tcW w:w="1418"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21B52583">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2023/9/15</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76BABA">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张嘉</w:t>
            </w:r>
            <w:r>
              <w:rPr>
                <w:rFonts w:hint="eastAsia" w:ascii="微软雅黑" w:hAnsi="微软雅黑" w:eastAsia="微软雅黑" w:cs="微软雅黑"/>
                <w:color w:val="000000"/>
                <w:kern w:val="0"/>
                <w:sz w:val="20"/>
                <w:szCs w:val="20"/>
                <w:lang w:bidi="ar"/>
              </w:rPr>
              <w:t>祎</w:t>
            </w:r>
          </w:p>
        </w:tc>
        <w:tc>
          <w:tcPr>
            <w:tcW w:w="31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8A7E7D">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上海音乐学院与陕西省考古研究院共建中国音乐科研基地项目座谈会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289DE2">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围绕文物为主题的多媒体音乐作品汇报</w:t>
            </w:r>
          </w:p>
        </w:tc>
      </w:tr>
      <w:tr w14:paraId="6089EF47">
        <w:tblPrEx>
          <w:tblCellMar>
            <w:top w:w="0" w:type="dxa"/>
            <w:left w:w="108" w:type="dxa"/>
            <w:bottom w:w="0" w:type="dxa"/>
            <w:right w:w="108" w:type="dxa"/>
          </w:tblCellMar>
        </w:tblPrEx>
        <w:trPr>
          <w:trHeight w:val="807" w:hRule="atLeast"/>
        </w:trPr>
        <w:tc>
          <w:tcPr>
            <w:tcW w:w="1418"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5C594DD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2023/10/2</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60B99F">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张晓萱</w:t>
            </w:r>
          </w:p>
        </w:tc>
        <w:tc>
          <w:tcPr>
            <w:tcW w:w="31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C9BD62">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w:t>
            </w:r>
            <w:r>
              <w:rPr>
                <w:rStyle w:val="11"/>
                <w:rFonts w:hint="eastAsia" w:ascii="仿宋_GB2312" w:hAnsi="方正仿宋_GB2312" w:eastAsia="仿宋_GB2312" w:cs="方正仿宋_GB2312"/>
                <w:lang w:bidi="ar"/>
              </w:rPr>
              <w:t>25</w:t>
            </w:r>
            <w:r>
              <w:rPr>
                <w:rStyle w:val="10"/>
                <w:rFonts w:hint="default" w:ascii="仿宋_GB2312" w:hAnsi="方正仿宋_GB2312" w:eastAsia="仿宋_GB2312" w:cs="方正仿宋_GB2312"/>
                <w:lang w:bidi="ar"/>
              </w:rPr>
              <w:t>届欧洲中国音乐研究基金会</w:t>
            </w:r>
            <w:r>
              <w:rPr>
                <w:rStyle w:val="11"/>
                <w:rFonts w:hint="eastAsia" w:ascii="仿宋_GB2312" w:hAnsi="方正仿宋_GB2312" w:eastAsia="仿宋_GB2312" w:cs="方正仿宋_GB2312"/>
                <w:lang w:bidi="ar"/>
              </w:rPr>
              <w:t>CHIME</w:t>
            </w:r>
            <w:r>
              <w:rPr>
                <w:rStyle w:val="10"/>
                <w:rFonts w:hint="default" w:ascii="仿宋_GB2312" w:hAnsi="方正仿宋_GB2312" w:eastAsia="仿宋_GB2312" w:cs="方正仿宋_GB2312"/>
                <w:lang w:bidi="ar"/>
              </w:rPr>
              <w:t>（磬）国际会议</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237FF7">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From Collective to Individual Inheritance</w:t>
            </w:r>
            <w:r>
              <w:rPr>
                <w:rStyle w:val="10"/>
                <w:rFonts w:hint="default" w:ascii="仿宋_GB2312" w:hAnsi="方正仿宋_GB2312" w:eastAsia="仿宋_GB2312" w:cs="方正仿宋_GB2312"/>
                <w:lang w:bidi="ar"/>
              </w:rPr>
              <w:t>：</w:t>
            </w:r>
            <w:r>
              <w:rPr>
                <w:rStyle w:val="11"/>
                <w:rFonts w:hint="eastAsia" w:ascii="仿宋_GB2312" w:hAnsi="方正仿宋_GB2312" w:eastAsia="仿宋_GB2312" w:cs="方正仿宋_GB2312"/>
                <w:lang w:bidi="ar"/>
              </w:rPr>
              <w:t>the Example of Huacao xiao luogu</w:t>
            </w:r>
            <w:r>
              <w:rPr>
                <w:rStyle w:val="10"/>
                <w:rFonts w:hint="default" w:ascii="仿宋_GB2312" w:hAnsi="方正仿宋_GB2312" w:eastAsia="仿宋_GB2312" w:cs="方正仿宋_GB2312"/>
                <w:lang w:bidi="ar"/>
              </w:rPr>
              <w:t>（华漕小锣鼓）</w:t>
            </w:r>
            <w:r>
              <w:rPr>
                <w:rStyle w:val="11"/>
                <w:rFonts w:hint="eastAsia" w:ascii="仿宋_GB2312" w:hAnsi="方正仿宋_GB2312" w:eastAsia="仿宋_GB2312" w:cs="方正仿宋_GB2312"/>
                <w:lang w:bidi="ar"/>
              </w:rPr>
              <w:t>in contemporary China</w:t>
            </w:r>
          </w:p>
        </w:tc>
      </w:tr>
    </w:tbl>
    <w:p w14:paraId="0CC312E3"/>
    <w:p w14:paraId="3F01B1E6">
      <w:pPr>
        <w:numPr>
          <w:ilvl w:val="0"/>
          <w:numId w:val="3"/>
        </w:numPr>
        <w:spacing w:line="560" w:lineRule="exact"/>
        <w:ind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研究生教育综合改革</w:t>
      </w:r>
    </w:p>
    <w:p w14:paraId="6E280498">
      <w:pPr>
        <w:numPr>
          <w:ilvl w:val="0"/>
          <w:numId w:val="4"/>
        </w:numPr>
        <w:spacing w:line="560" w:lineRule="exact"/>
        <w:ind w:firstLine="480"/>
        <w:rPr>
          <w:rFonts w:ascii="仿宋_GB2312" w:hAnsi="宋体" w:eastAsia="仿宋_GB2312" w:cs="宋体"/>
          <w:b/>
          <w:bCs/>
          <w:sz w:val="28"/>
          <w:szCs w:val="28"/>
        </w:rPr>
      </w:pPr>
      <w:r>
        <w:rPr>
          <w:rFonts w:hint="eastAsia" w:ascii="仿宋_GB2312" w:hAnsi="宋体" w:eastAsia="仿宋_GB2312" w:cs="宋体"/>
          <w:b/>
          <w:bCs/>
          <w:sz w:val="28"/>
          <w:szCs w:val="28"/>
        </w:rPr>
        <w:t>招生工作</w:t>
      </w:r>
    </w:p>
    <w:p w14:paraId="0FDABE4C">
      <w:pPr>
        <w:spacing w:line="560" w:lineRule="exact"/>
        <w:ind w:firstLine="560" w:firstLineChars="200"/>
        <w:rPr>
          <w:rStyle w:val="7"/>
          <w:rFonts w:ascii="仿宋_GB2312" w:hAnsi="仿宋_GB2312" w:eastAsia="仿宋_GB2312" w:cs="仿宋_GB2312"/>
          <w:sz w:val="28"/>
          <w:szCs w:val="28"/>
        </w:rPr>
      </w:pPr>
      <w:r>
        <w:rPr>
          <w:rStyle w:val="7"/>
          <w:rFonts w:hint="eastAsia" w:ascii="仿宋_GB2312" w:hAnsi="仿宋_GB2312" w:eastAsia="仿宋_GB2312" w:cs="仿宋_GB2312"/>
          <w:sz w:val="28"/>
          <w:szCs w:val="28"/>
        </w:rPr>
        <w:t>本学位2023年博士研究生招生数47人，均为全日制；硕士研究生招生数32人，均为全日制。</w:t>
      </w:r>
    </w:p>
    <w:p w14:paraId="381B95A7">
      <w:pPr>
        <w:spacing w:line="560" w:lineRule="exact"/>
        <w:ind w:firstLine="560" w:firstLineChars="200"/>
        <w:rPr>
          <w:rFonts w:ascii="仿宋_GB2312" w:hAnsi="仿宋_GB2312" w:eastAsia="仿宋_GB2312" w:cs="仿宋_GB2312"/>
          <w:sz w:val="28"/>
          <w:szCs w:val="28"/>
        </w:rPr>
      </w:pPr>
      <w:r>
        <w:rPr>
          <w:rStyle w:val="7"/>
          <w:rFonts w:hint="eastAsia" w:ascii="仿宋_GB2312" w:hAnsi="仿宋_GB2312" w:eastAsia="仿宋_GB2312" w:cs="仿宋_GB2312"/>
          <w:sz w:val="28"/>
          <w:szCs w:val="28"/>
        </w:rPr>
        <w:t>为积极应对疫情常态化管理，落实研究生招生工作恢复线下考试，保障招生工作的有序进行。在市教委、校党政班子的领导下，研招办应用信息化手段组织开展线下招生工作，与各院系密切沟通联系，形成招生系列方案与文件包括《上海音乐学院2024年攻读硕士学位研究生招生简章》《</w:t>
      </w:r>
      <w:r>
        <w:fldChar w:fldCharType="begin"/>
      </w:r>
      <w:r>
        <w:instrText xml:space="preserve"> HYPERLINK "https://yjsb.shcmusic.edu.cn/2023/1008/c2675a49010/page.htm" \t "https://yjsb.shcmusic.edu.cn/2675/_blank" \o "上海音乐学院报考点（考点代码：3124）2024年硕士研究生招生考试公告" </w:instrText>
      </w:r>
      <w:r>
        <w:fldChar w:fldCharType="separate"/>
      </w:r>
      <w:r>
        <w:rPr>
          <w:rStyle w:val="7"/>
          <w:rFonts w:ascii="仿宋_GB2312" w:hAnsi="仿宋_GB2312" w:eastAsia="仿宋_GB2312" w:cs="仿宋_GB2312"/>
          <w:sz w:val="28"/>
          <w:szCs w:val="28"/>
        </w:rPr>
        <w:t>上海音乐学院报考点（考点代码：3124）2024年硕士研究生招生考试公告</w:t>
      </w:r>
      <w:r>
        <w:rPr>
          <w:rStyle w:val="7"/>
          <w:rFonts w:ascii="仿宋_GB2312" w:hAnsi="仿宋_GB2312" w:eastAsia="仿宋_GB2312" w:cs="仿宋_GB2312"/>
          <w:sz w:val="28"/>
          <w:szCs w:val="28"/>
        </w:rPr>
        <w:fldChar w:fldCharType="end"/>
      </w:r>
      <w:r>
        <w:rPr>
          <w:rStyle w:val="7"/>
          <w:rFonts w:hint="eastAsia" w:ascii="仿宋_GB2312" w:hAnsi="仿宋_GB2312" w:eastAsia="仿宋_GB2312" w:cs="仿宋_GB2312"/>
          <w:sz w:val="28"/>
          <w:szCs w:val="28"/>
        </w:rPr>
        <w:t>》《2024年全国硕士研究生招生考试上海音乐学院报考点（代码3124）网上确认公告》《上海音乐学院2023年硕士研究生招生复试及录取工作办法》《上海音乐学院2023年硕士研究生招生复试考生须知》《上海音乐学院2023年硕士研究生招生复试分段表》《上海音乐学院2023年博士研究生招生方案》《上海音乐学院2023年博士研究生招生考试安排》《2023年博士研究生复试分段表》《2023年博士研究生招生考试复试日程安排》《上海音乐学院2024年接收推荐免试攻读硕士学位研究生章程》等。</w:t>
      </w:r>
    </w:p>
    <w:p w14:paraId="13463BB7">
      <w:pPr>
        <w:numPr>
          <w:ilvl w:val="0"/>
          <w:numId w:val="4"/>
        </w:numPr>
        <w:spacing w:line="560" w:lineRule="exact"/>
        <w:ind w:firstLine="480"/>
        <w:rPr>
          <w:rFonts w:ascii="仿宋_GB2312" w:hAnsi="宋体" w:eastAsia="仿宋_GB2312" w:cs="宋体"/>
          <w:b/>
          <w:bCs/>
          <w:sz w:val="28"/>
          <w:szCs w:val="28"/>
        </w:rPr>
      </w:pPr>
      <w:r>
        <w:rPr>
          <w:rFonts w:hint="eastAsia" w:ascii="仿宋_GB2312" w:hAnsi="宋体" w:eastAsia="仿宋_GB2312" w:cs="宋体"/>
          <w:b/>
          <w:bCs/>
          <w:sz w:val="28"/>
          <w:szCs w:val="28"/>
        </w:rPr>
        <w:t>培养环节</w:t>
      </w:r>
    </w:p>
    <w:p w14:paraId="76CEDDAE">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研究生学籍相关工作方面，积极相应上海市教委、上海市学生事务中心的相关要求，认真做好2023级研究生新生人像比对与电子学籍注册工作、其他年级研究生老生电子学籍学年注册工作；组织2023级研究生新生进行学籍自查并督促完成，做到新生全部自查；定期完成2023届研究生毕业生学籍信息核对与订正工作；办理研究生在学期间常规学籍异动(如：休学、复学、延期、退学、换导师、增补论文导师等)；及时进行学籍预警工作（如：对即将超出最长培养年限的研究生提出学籍预警并进行后续相关操作指导；对休学期满的同学进行提醒，指导其如期办理复学等工作等）；按时组织研究生证副卡新卡制证及旧卡遗失补办相关工作；配合上报各批次研究生学籍数据(教育部平台、高基数据、学工部门数据等)；及时更新各平台研究生学籍数据，以保持数据的准确性及一致性（研究生总名单、学信网、研究生教学服务系统等）；及时将已产生的学籍异动数据，及时通知到相关业务部门，以便联动开展后续工作（如综合办、财务处、留学生办公室等）；研究生教学服务系统中的常规学籍数据维护工作（新生学籍数据录入、学籍异动数据录入、毕业生学籍数据迁移等）。</w:t>
      </w:r>
    </w:p>
    <w:p w14:paraId="67A40E84">
      <w:pPr>
        <w:spacing w:line="560" w:lineRule="exact"/>
        <w:ind w:firstLine="560" w:firstLineChars="200"/>
        <w:rPr>
          <w:rFonts w:ascii="仿宋_GB2312" w:hAnsi="宋体" w:eastAsia="仿宋_GB2312" w:cs="宋体"/>
          <w:sz w:val="28"/>
          <w:szCs w:val="28"/>
        </w:rPr>
      </w:pPr>
      <w:bookmarkStart w:id="0" w:name="_Hlk163736166"/>
      <w:r>
        <w:rPr>
          <w:rFonts w:hint="eastAsia" w:ascii="仿宋_GB2312" w:hAnsi="宋体" w:eastAsia="仿宋_GB2312" w:cs="宋体"/>
          <w:sz w:val="28"/>
          <w:szCs w:val="28"/>
        </w:rPr>
        <w:t>在研究生课程建设方面，进一步完善研究生课程体系与精品课程相关建设。根据教育部等上级部门的指导与要求，结合我院研究生学科专业的教学规律与发展目标，研究生部联合各教学系部进一步完善研究生课程体系与精品课程的建设，调整硕博研究生课程学分的结构，促进研究生课程配置更贴近各学科专业的发展及对研究生教育质量的提升。本年度新上报研究生选修课程</w:t>
      </w:r>
      <w:r>
        <w:rPr>
          <w:rFonts w:ascii="仿宋_GB2312" w:hAnsi="宋体" w:eastAsia="仿宋_GB2312" w:cs="宋体"/>
          <w:sz w:val="28"/>
          <w:szCs w:val="28"/>
        </w:rPr>
        <w:t>23</w:t>
      </w:r>
      <w:r>
        <w:rPr>
          <w:rFonts w:hint="eastAsia" w:ascii="仿宋_GB2312" w:hAnsi="宋体" w:eastAsia="仿宋_GB2312" w:cs="宋体"/>
          <w:sz w:val="28"/>
          <w:szCs w:val="28"/>
        </w:rPr>
        <w:t>门，成功开课</w:t>
      </w:r>
      <w:r>
        <w:rPr>
          <w:rFonts w:ascii="仿宋_GB2312" w:hAnsi="宋体" w:eastAsia="仿宋_GB2312" w:cs="宋体"/>
          <w:sz w:val="28"/>
          <w:szCs w:val="28"/>
        </w:rPr>
        <w:t>20</w:t>
      </w:r>
      <w:r>
        <w:rPr>
          <w:rFonts w:hint="eastAsia" w:ascii="仿宋_GB2312" w:hAnsi="宋体" w:eastAsia="仿宋_GB2312" w:cs="宋体"/>
          <w:sz w:val="28"/>
          <w:szCs w:val="28"/>
        </w:rPr>
        <w:t>门。</w:t>
      </w:r>
      <w:r>
        <w:rPr>
          <w:rFonts w:ascii="仿宋_GB2312" w:hAnsi="宋体" w:eastAsia="仿宋_GB2312" w:cs="宋体"/>
          <w:sz w:val="28"/>
          <w:szCs w:val="28"/>
        </w:rPr>
        <w:t>7</w:t>
      </w:r>
      <w:r>
        <w:rPr>
          <w:rFonts w:hint="eastAsia" w:ascii="仿宋_GB2312" w:hAnsi="宋体" w:eastAsia="仿宋_GB2312" w:cs="宋体"/>
          <w:sz w:val="28"/>
          <w:szCs w:val="28"/>
        </w:rPr>
        <w:t>月分别组织开展了对于研究生精品课程（课程思政专项）的申报以及评选工作，并围绕研究生核心课程建设的教学需要评选出了精品课程（课程思政专项）专业主课1</w:t>
      </w:r>
      <w:r>
        <w:rPr>
          <w:rFonts w:ascii="仿宋_GB2312" w:hAnsi="宋体" w:eastAsia="仿宋_GB2312" w:cs="宋体"/>
          <w:sz w:val="28"/>
          <w:szCs w:val="28"/>
        </w:rPr>
        <w:t>5</w:t>
      </w:r>
      <w:r>
        <w:rPr>
          <w:rFonts w:hint="eastAsia" w:ascii="仿宋_GB2312" w:hAnsi="宋体" w:eastAsia="仿宋_GB2312" w:cs="宋体"/>
          <w:sz w:val="28"/>
          <w:szCs w:val="28"/>
        </w:rPr>
        <w:t>门，专业基础课7门。</w:t>
      </w:r>
      <w:bookmarkEnd w:id="0"/>
    </w:p>
    <w:p w14:paraId="757BC260">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研究生培养环节方面，本年度共举办硕士研究生开题报告会4场次；学术学位硕士研究生学术报告会4场次。</w:t>
      </w:r>
    </w:p>
    <w:p w14:paraId="7CF81266">
      <w:pPr>
        <w:spacing w:line="560" w:lineRule="exact"/>
        <w:ind w:firstLine="560" w:firstLineChars="200"/>
        <w:rPr>
          <w:rFonts w:ascii="仿宋" w:hAnsi="仿宋" w:eastAsia="仿宋" w:cs="仿宋"/>
          <w:sz w:val="28"/>
          <w:szCs w:val="28"/>
        </w:rPr>
      </w:pPr>
      <w:r>
        <w:rPr>
          <w:rFonts w:hint="eastAsia" w:ascii="仿宋_GB2312" w:hAnsi="宋体" w:eastAsia="仿宋_GB2312" w:cs="宋体"/>
          <w:sz w:val="28"/>
          <w:szCs w:val="28"/>
        </w:rPr>
        <w:t>其他培养专题专项工作方面，</w:t>
      </w:r>
      <w:r>
        <w:rPr>
          <w:rFonts w:hint="eastAsia" w:ascii="仿宋" w:hAnsi="仿宋" w:eastAsia="仿宋" w:cs="仿宋"/>
          <w:sz w:val="28"/>
          <w:szCs w:val="28"/>
        </w:rPr>
        <w:t>积极配合完成上海市教育委员会、上海市学位委员会关于开展2023年研究生教育改革项目建设的申报工作。我院此次共提交7项研究生教育改革项目申报，最终有2项获得立项：《基于“歌剧学院”建设的歌剧表演复合应用型研究生人才跨学科培养》（项目负责人：廖昌永教授）、《中国式音乐艺术专业博士人才培养体系创新与实践》（项目负责人：钱仁平教授）。</w:t>
      </w:r>
    </w:p>
    <w:p w14:paraId="5C92FB8E">
      <w:pPr>
        <w:numPr>
          <w:ilvl w:val="0"/>
          <w:numId w:val="4"/>
        </w:numPr>
        <w:spacing w:line="560" w:lineRule="exact"/>
        <w:ind w:firstLine="480"/>
        <w:rPr>
          <w:rFonts w:ascii="仿宋_GB2312" w:hAnsi="宋体" w:eastAsia="仿宋_GB2312" w:cs="宋体"/>
          <w:b/>
          <w:bCs/>
          <w:sz w:val="28"/>
          <w:szCs w:val="28"/>
        </w:rPr>
      </w:pPr>
      <w:r>
        <w:rPr>
          <w:rFonts w:hint="eastAsia" w:ascii="仿宋_GB2312" w:hAnsi="宋体" w:eastAsia="仿宋_GB2312" w:cs="宋体"/>
          <w:b/>
          <w:bCs/>
          <w:sz w:val="28"/>
          <w:szCs w:val="28"/>
        </w:rPr>
        <w:t>学位工作</w:t>
      </w:r>
    </w:p>
    <w:p w14:paraId="5FDF13A6">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本学位授权点2023年授予博士学位28人，硕士学位</w:t>
      </w:r>
      <w:r>
        <w:rPr>
          <w:rFonts w:ascii="仿宋" w:hAnsi="仿宋" w:eastAsia="仿宋" w:cs="仿宋"/>
          <w:sz w:val="28"/>
          <w:szCs w:val="28"/>
        </w:rPr>
        <w:t>38</w:t>
      </w:r>
      <w:r>
        <w:rPr>
          <w:rFonts w:hint="eastAsia" w:ascii="仿宋" w:hAnsi="仿宋" w:eastAsia="仿宋" w:cs="仿宋"/>
          <w:sz w:val="28"/>
          <w:szCs w:val="28"/>
        </w:rPr>
        <w:t>人。为保障学位工作进行，本年逐步推进学位点评估工作，不断完善完成学位授权点合格评估院级自我评估工作方案及评价体系。9月起逐步安排2024届毕业音乐会相关工作，包括租借场地、安排录音、录像、准备评阅材料等事项。</w:t>
      </w:r>
    </w:p>
    <w:p w14:paraId="1061EF3D">
      <w:pPr>
        <w:numPr>
          <w:ilvl w:val="0"/>
          <w:numId w:val="4"/>
        </w:numPr>
        <w:spacing w:line="560" w:lineRule="exact"/>
        <w:ind w:firstLine="480"/>
        <w:rPr>
          <w:rFonts w:ascii="仿宋_GB2312" w:hAnsi="宋体" w:eastAsia="仿宋_GB2312" w:cs="宋体"/>
          <w:b/>
          <w:bCs/>
          <w:sz w:val="28"/>
          <w:szCs w:val="28"/>
        </w:rPr>
      </w:pPr>
      <w:r>
        <w:rPr>
          <w:rFonts w:hint="eastAsia" w:ascii="仿宋_GB2312" w:hAnsi="宋体" w:eastAsia="仿宋_GB2312" w:cs="宋体"/>
          <w:b/>
          <w:bCs/>
          <w:sz w:val="28"/>
          <w:szCs w:val="28"/>
        </w:rPr>
        <w:t>学科建设</w:t>
      </w:r>
    </w:p>
    <w:p w14:paraId="2C61DB64">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学校深耕音乐创作与理论、音乐表演、音乐学理论和音乐应用“四轮驱动”的学科建设模式，积极推动并实现学科交叉融合。“音乐与舞蹈学”在“软科”中国最好学科排行中排名第二；“音乐表演专业”连续两年获“软科”中国大学专业排名第一。学校在QS世界大学排名“艺术表演”中位列第43位，取得历史性突破。在第五轮学科评估中，三个一级学科均取得佳绩，其中“音乐与舞蹈学”持续保持优异成绩。</w:t>
      </w:r>
    </w:p>
    <w:p w14:paraId="7E451FF2">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以新版学科专业目录调整为契机，优化各学科专业布局。加强优势实践型专业领域“音乐”“戏剧与影视”的远期规划和建设发展，丰富传统学术型一级学科“艺术学”的建设内涵，同时探索音乐人工智能、音乐科技与运用、设计与融媒体、音乐康疗等新兴学科的布局策略，积极发展交叉学科，以适应人才发展和社会需要。学校深入落实中央和市委人才工作会议精神，以新一轮“创新团队”建设为举措，深度对接上海市“人才揽蓄”计划。</w:t>
      </w:r>
    </w:p>
    <w:p w14:paraId="6FDFD75A">
      <w:pPr>
        <w:spacing w:line="560" w:lineRule="exact"/>
        <w:ind w:firstLine="560" w:firstLineChars="200"/>
        <w:outlineLvl w:val="0"/>
        <w:rPr>
          <w:rFonts w:ascii="仿宋_GB2312" w:hAnsi="宋体" w:eastAsia="仿宋_GB2312" w:cs="宋体"/>
          <w:sz w:val="28"/>
          <w:szCs w:val="28"/>
        </w:rPr>
      </w:pPr>
      <w:r>
        <w:rPr>
          <w:rFonts w:hint="eastAsia" w:ascii="仿宋_GB2312" w:hAnsi="宋体" w:eastAsia="仿宋_GB2312" w:cs="宋体"/>
          <w:sz w:val="28"/>
          <w:szCs w:val="28"/>
        </w:rPr>
        <w:t>完成学位授权点对应调整工作。根据国务院学位委员会《关于对有关博士、硕士学位授权点进行对应调整的通知》（学位办〔2022〕21号），为进一步贯彻落实党的二十大会议精神，加快建设高质量研究生教育，全面提高人才自主培养质量，国家启动博士、硕士学位授权点对应调整工作，本次调整工作本着“保证质量、突出特色、积极稳妥”的原则予以推进，确保师生相关利益。我院根据新版研究生学科专业目录，完成对学校原有一级学科的对应调整工作并上报。根据上海市学位委员会《关于转发有关学位授权点对应调整名单》（沪学位〔2023〕4号），我院获艺术学一级学科博士授权点、音乐专业学位博士授权点，戏剧与影视专业学位硕士授权点。根据文件要求，2023年下半年启动的新一轮研究生招生、培养和学位授予工作按照调整后的学科和专业学位类别进行。在校生及2022年启动招生、2023年9月入学学生的培养仍按原学科专业执行。</w:t>
      </w:r>
    </w:p>
    <w:p w14:paraId="44545A0C">
      <w:pPr>
        <w:spacing w:line="560" w:lineRule="exact"/>
        <w:ind w:firstLine="562" w:firstLineChars="200"/>
        <w:outlineLvl w:val="0"/>
        <w:rPr>
          <w:rFonts w:ascii="仿宋_GB2312" w:hAnsi="宋体" w:eastAsia="仿宋_GB2312" w:cs="宋体"/>
          <w:b/>
          <w:sz w:val="28"/>
          <w:szCs w:val="28"/>
        </w:rPr>
      </w:pPr>
      <w:r>
        <w:rPr>
          <w:rFonts w:hint="eastAsia" w:ascii="仿宋_GB2312" w:hAnsi="宋体" w:eastAsia="仿宋_GB2312" w:cs="宋体"/>
          <w:b/>
          <w:sz w:val="28"/>
          <w:szCs w:val="28"/>
        </w:rPr>
        <w:t>五、存在的问题与改进举措</w:t>
      </w:r>
    </w:p>
    <w:p w14:paraId="4D1FF2DC">
      <w:pPr>
        <w:spacing w:line="560" w:lineRule="exact"/>
        <w:ind w:firstLine="560" w:firstLineChars="200"/>
        <w:outlineLvl w:val="0"/>
        <w:rPr>
          <w:rFonts w:ascii="仿宋_GB2312" w:hAnsi="宋体" w:eastAsia="仿宋_GB2312" w:cs="宋体"/>
          <w:sz w:val="28"/>
          <w:szCs w:val="28"/>
        </w:rPr>
      </w:pPr>
      <w:r>
        <w:rPr>
          <w:rFonts w:hint="eastAsia" w:ascii="仿宋_GB2312" w:hAnsi="宋体" w:eastAsia="仿宋_GB2312" w:cs="宋体"/>
          <w:sz w:val="28"/>
          <w:szCs w:val="28"/>
        </w:rPr>
        <w:t>根据教育部《全国硕士研究生招生考试自命题工作指导规范》（教学厅[2019]6号）及上海市教育考试院《上海市研究生招生考试自命题工作的指导意见》（沪教考院社考[2019]36号）的文件精神，研究生部于2023年继续推进硕士研究生初试的自命题工作的改革。在制定专业目录前，研究生部与相关学科培养指导委员分会分别召开多次专项会议。经过努力，现已将涉及三个一级学科专业、一个专业学位的15个招生领域的36科的自命题试题切实减少至34科。</w:t>
      </w:r>
    </w:p>
    <w:p w14:paraId="761EBD0A">
      <w:pPr>
        <w:spacing w:line="560" w:lineRule="exact"/>
        <w:ind w:firstLine="560" w:firstLineChars="200"/>
        <w:outlineLvl w:val="0"/>
        <w:rPr>
          <w:rFonts w:ascii="仿宋_GB2312" w:hAnsi="宋体" w:eastAsia="仿宋_GB2312" w:cs="宋体"/>
          <w:sz w:val="28"/>
          <w:szCs w:val="28"/>
        </w:rPr>
      </w:pPr>
      <w:r>
        <w:rPr>
          <w:rFonts w:hint="eastAsia" w:ascii="仿宋_GB2312" w:hAnsi="宋体" w:eastAsia="仿宋_GB2312" w:cs="宋体"/>
          <w:sz w:val="28"/>
          <w:szCs w:val="28"/>
        </w:rPr>
        <w:t>学校将继续推动学校研究生教育适应党和国家事业发展需要，坚持“四为”方针，以“立德树人、服务需求、提高质量、卓越育人”为主线开展各项工作，深化研究生教育教学综合改革，力争在培养拔尖人才、提高创新能力、服务社会发展等方面取得新突破。</w:t>
      </w:r>
    </w:p>
    <w:p w14:paraId="7271179E">
      <w:pPr>
        <w:spacing w:line="560" w:lineRule="exact"/>
        <w:ind w:firstLine="560" w:firstLineChars="200"/>
        <w:outlineLvl w:val="0"/>
        <w:rPr>
          <w:rFonts w:ascii="仿宋_GB2312" w:hAnsi="宋体" w:eastAsia="仿宋_GB2312" w:cs="宋体"/>
          <w:sz w:val="28"/>
          <w:szCs w:val="28"/>
        </w:rPr>
      </w:pPr>
      <w:r>
        <w:rPr>
          <w:rFonts w:hint="eastAsia" w:ascii="仿宋_GB2312" w:hAnsi="宋体" w:eastAsia="仿宋_GB2312" w:cs="宋体"/>
          <w:sz w:val="28"/>
          <w:szCs w:val="28"/>
        </w:rPr>
        <w:t>1.进一步提升专业主课课程思政建设。采取“部系联动”“师生关联”的方式开展，研究生部进一步发挥指导、协调、服务和管理的职能作用。</w:t>
      </w:r>
    </w:p>
    <w:p w14:paraId="3B46DACE">
      <w:pPr>
        <w:spacing w:line="560" w:lineRule="exact"/>
        <w:ind w:firstLine="560" w:firstLineChars="200"/>
        <w:outlineLvl w:val="0"/>
        <w:rPr>
          <w:rFonts w:ascii="仿宋_GB2312" w:hAnsi="宋体" w:eastAsia="仿宋_GB2312" w:cs="宋体"/>
          <w:sz w:val="28"/>
          <w:szCs w:val="28"/>
        </w:rPr>
      </w:pPr>
      <w:r>
        <w:rPr>
          <w:rFonts w:hint="eastAsia" w:ascii="仿宋_GB2312" w:hAnsi="宋体" w:eastAsia="仿宋_GB2312" w:cs="宋体"/>
          <w:sz w:val="28"/>
          <w:szCs w:val="28"/>
        </w:rPr>
        <w:t>2.加快构建新版学科专业目录下的课程体系。以拔尖创新人才培养为目标，对标新版学科专业目录，完成培养方案、课程教学方案的修订和完善。</w:t>
      </w:r>
    </w:p>
    <w:p w14:paraId="354DC56B">
      <w:pPr>
        <w:spacing w:line="560" w:lineRule="exact"/>
        <w:ind w:firstLine="560" w:firstLineChars="200"/>
        <w:outlineLvl w:val="0"/>
        <w:rPr>
          <w:rFonts w:ascii="仿宋_GB2312" w:hAnsi="宋体" w:eastAsia="仿宋_GB2312" w:cs="宋体"/>
          <w:sz w:val="28"/>
          <w:szCs w:val="28"/>
        </w:rPr>
      </w:pPr>
      <w:r>
        <w:rPr>
          <w:rFonts w:hint="eastAsia" w:ascii="仿宋_GB2312" w:hAnsi="宋体" w:eastAsia="仿宋_GB2312" w:cs="宋体"/>
          <w:sz w:val="28"/>
          <w:szCs w:val="28"/>
        </w:rPr>
        <w:t>3.持续加强导师管理与服务工作力度。研究生导师是研究生培养的第一责任人，开展以“四有导师”培训工作为代表的导师培训工作，充分发挥其在育人育才方面的关键作用,为建设具有中国特色的研究生教育强国提供坚强支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5561A">
    <w:pPr>
      <w:pStyle w:val="2"/>
      <w:widowControl/>
      <w:textAlignment w:val="baseline"/>
      <w:rPr>
        <w:rStyle w:val="7"/>
        <w:rFonts w:ascii="Times New Roman" w:hAnsi="Times New Roman"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C85C9">
                          <w:pPr>
                            <w:pStyle w:val="2"/>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92C85C9">
                    <w:pPr>
                      <w:pStyle w:val="2"/>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60DC2"/>
    <w:multiLevelType w:val="singleLevel"/>
    <w:tmpl w:val="BE560DC2"/>
    <w:lvl w:ilvl="0" w:tentative="0">
      <w:start w:val="2"/>
      <w:numFmt w:val="chineseCounting"/>
      <w:suff w:val="nothing"/>
      <w:lvlText w:val="（%1）"/>
      <w:lvlJc w:val="left"/>
      <w:rPr>
        <w:rFonts w:hint="eastAsia"/>
      </w:rPr>
    </w:lvl>
  </w:abstractNum>
  <w:abstractNum w:abstractNumId="1">
    <w:nsid w:val="EC50FF09"/>
    <w:multiLevelType w:val="singleLevel"/>
    <w:tmpl w:val="EC50FF09"/>
    <w:lvl w:ilvl="0" w:tentative="0">
      <w:start w:val="3"/>
      <w:numFmt w:val="chineseCounting"/>
      <w:suff w:val="nothing"/>
      <w:lvlText w:val="%1、"/>
      <w:lvlJc w:val="left"/>
      <w:rPr>
        <w:rFonts w:hint="eastAsia"/>
      </w:rPr>
    </w:lvl>
  </w:abstractNum>
  <w:abstractNum w:abstractNumId="2">
    <w:nsid w:val="F6CE02F8"/>
    <w:multiLevelType w:val="singleLevel"/>
    <w:tmpl w:val="F6CE02F8"/>
    <w:lvl w:ilvl="0" w:tentative="0">
      <w:start w:val="2"/>
      <w:numFmt w:val="chineseCounting"/>
      <w:suff w:val="nothing"/>
      <w:lvlText w:val="（%1）"/>
      <w:lvlJc w:val="left"/>
      <w:rPr>
        <w:rFonts w:hint="eastAsia"/>
      </w:rPr>
    </w:lvl>
  </w:abstractNum>
  <w:abstractNum w:abstractNumId="3">
    <w:nsid w:val="5BFB4F10"/>
    <w:multiLevelType w:val="singleLevel"/>
    <w:tmpl w:val="5BFB4F10"/>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YjQ5ZTE0MTYyNThkNzJhYTFjZThiNjdlMDI5ZjEifQ=="/>
  </w:docVars>
  <w:rsids>
    <w:rsidRoot w:val="39F63CBD"/>
    <w:rsid w:val="000A254A"/>
    <w:rsid w:val="00182BE0"/>
    <w:rsid w:val="00187A0C"/>
    <w:rsid w:val="00202F3F"/>
    <w:rsid w:val="002A753C"/>
    <w:rsid w:val="002C24A5"/>
    <w:rsid w:val="00331C6F"/>
    <w:rsid w:val="0034107B"/>
    <w:rsid w:val="0036675C"/>
    <w:rsid w:val="003C1F9C"/>
    <w:rsid w:val="0045232D"/>
    <w:rsid w:val="004E5CF8"/>
    <w:rsid w:val="005217AD"/>
    <w:rsid w:val="00547030"/>
    <w:rsid w:val="00592BAC"/>
    <w:rsid w:val="0059520C"/>
    <w:rsid w:val="005A12EE"/>
    <w:rsid w:val="00636F34"/>
    <w:rsid w:val="006808B8"/>
    <w:rsid w:val="00817B17"/>
    <w:rsid w:val="008F361F"/>
    <w:rsid w:val="008F474E"/>
    <w:rsid w:val="0093701D"/>
    <w:rsid w:val="009C0FC6"/>
    <w:rsid w:val="00A328C3"/>
    <w:rsid w:val="00A34909"/>
    <w:rsid w:val="00B050B7"/>
    <w:rsid w:val="00B51967"/>
    <w:rsid w:val="00C41E1E"/>
    <w:rsid w:val="00C703E1"/>
    <w:rsid w:val="00C717D3"/>
    <w:rsid w:val="00D771C7"/>
    <w:rsid w:val="00D86D8B"/>
    <w:rsid w:val="00F76B0E"/>
    <w:rsid w:val="00FA5D93"/>
    <w:rsid w:val="00FD2366"/>
    <w:rsid w:val="00FD7D0B"/>
    <w:rsid w:val="00FF6D5C"/>
    <w:rsid w:val="0A23425D"/>
    <w:rsid w:val="0BA86FFA"/>
    <w:rsid w:val="14DD178C"/>
    <w:rsid w:val="270A6CD4"/>
    <w:rsid w:val="2CF27CFD"/>
    <w:rsid w:val="2D0838FE"/>
    <w:rsid w:val="3237374F"/>
    <w:rsid w:val="331F7372"/>
    <w:rsid w:val="34783792"/>
    <w:rsid w:val="36A31274"/>
    <w:rsid w:val="39AC4BF5"/>
    <w:rsid w:val="39F63CBD"/>
    <w:rsid w:val="3AB111F7"/>
    <w:rsid w:val="3BAC2B58"/>
    <w:rsid w:val="3F7516DA"/>
    <w:rsid w:val="43853C3C"/>
    <w:rsid w:val="4BAB77BD"/>
    <w:rsid w:val="4E59004C"/>
    <w:rsid w:val="53A505C8"/>
    <w:rsid w:val="5C4B16CD"/>
    <w:rsid w:val="63B62ED2"/>
    <w:rsid w:val="69A33468"/>
    <w:rsid w:val="701E2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autoRedefine/>
    <w:unhideWhenUsed/>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ascii="Times New Roman" w:hAnsi="Times New Roman" w:eastAsia="宋体" w:cs="Times New Roman"/>
      <w:kern w:val="0"/>
      <w:sz w:val="24"/>
      <w:szCs w:val="20"/>
    </w:rPr>
  </w:style>
  <w:style w:type="character" w:customStyle="1" w:styleId="6">
    <w:name w:val="页脚 字符"/>
    <w:basedOn w:val="5"/>
    <w:link w:val="2"/>
    <w:autoRedefine/>
    <w:qFormat/>
    <w:uiPriority w:val="0"/>
    <w:rPr>
      <w:rFonts w:asciiTheme="minorHAnsi" w:hAnsiTheme="minorHAnsi" w:eastAsiaTheme="minorEastAsia" w:cstheme="minorBidi"/>
      <w:kern w:val="2"/>
      <w:sz w:val="18"/>
      <w:szCs w:val="18"/>
    </w:rPr>
  </w:style>
  <w:style w:type="character" w:customStyle="1" w:styleId="7">
    <w:name w:val="NormalCharacter"/>
    <w:autoRedefine/>
    <w:semiHidden/>
    <w:qFormat/>
    <w:uiPriority w:val="0"/>
    <w:rPr>
      <w:rFonts w:eastAsia="方正仿宋简体" w:asciiTheme="minorHAnsi" w:hAnsiTheme="minorHAnsi" w:cstheme="minorBidi"/>
      <w:kern w:val="2"/>
      <w:sz w:val="32"/>
      <w:szCs w:val="24"/>
      <w:lang w:val="en-US" w:eastAsia="zh-CN" w:bidi="ar-SA"/>
    </w:rPr>
  </w:style>
  <w:style w:type="paragraph" w:customStyle="1" w:styleId="8">
    <w:name w:val="Heading3"/>
    <w:basedOn w:val="1"/>
    <w:next w:val="1"/>
    <w:autoRedefine/>
    <w:qFormat/>
    <w:uiPriority w:val="0"/>
    <w:pPr>
      <w:spacing w:line="600" w:lineRule="exact"/>
      <w:ind w:firstLine="640" w:firstLineChars="200"/>
      <w:textAlignment w:val="baseline"/>
    </w:pPr>
    <w:rPr>
      <w:rFonts w:ascii="黑体" w:hAnsi="黑体" w:eastAsia="黑体"/>
      <w:color w:val="000000"/>
      <w:sz w:val="32"/>
      <w:szCs w:val="32"/>
    </w:rPr>
  </w:style>
  <w:style w:type="paragraph" w:styleId="9">
    <w:name w:val="List Paragraph"/>
    <w:basedOn w:val="1"/>
    <w:autoRedefine/>
    <w:qFormat/>
    <w:uiPriority w:val="99"/>
    <w:pPr>
      <w:ind w:firstLine="420" w:firstLineChars="200"/>
    </w:pPr>
  </w:style>
  <w:style w:type="character" w:customStyle="1" w:styleId="10">
    <w:name w:val="font31"/>
    <w:basedOn w:val="5"/>
    <w:qFormat/>
    <w:uiPriority w:val="0"/>
    <w:rPr>
      <w:rFonts w:hint="eastAsia" w:ascii="宋体" w:hAnsi="宋体" w:eastAsia="宋体" w:cs="宋体"/>
      <w:color w:val="000000"/>
      <w:sz w:val="20"/>
      <w:szCs w:val="20"/>
      <w:u w:val="none"/>
    </w:rPr>
  </w:style>
  <w:style w:type="character" w:customStyle="1" w:styleId="11">
    <w:name w:val="font41"/>
    <w:basedOn w:val="5"/>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ICOS</Company>
  <Pages>14</Pages>
  <Words>7886</Words>
  <Characters>8416</Characters>
  <Lines>62</Lines>
  <Paragraphs>17</Paragraphs>
  <TotalTime>29</TotalTime>
  <ScaleCrop>false</ScaleCrop>
  <LinksUpToDate>false</LinksUpToDate>
  <CharactersWithSpaces>8459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2022-07-05T02:29:00Z</dcterms:created>
  <dc:creator>刘倩倩</dc:creator>
  <cp:lastModifiedBy>嘉优</cp:lastModifiedBy>
  <dcterms:modified xsi:type="dcterms:W3CDTF">2024-11-12T01:59:10Z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07378CD700E8403594A5812975B58A48_13</vt:lpwstr>
  </property>
</Properties>
</file>