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E82A4">
      <w:pPr>
        <w:spacing w:after="156" w:line="560" w:lineRule="exact"/>
        <w:textAlignment w:val="baseline"/>
        <w:rPr>
          <w:rStyle w:val="7"/>
          <w:rFonts w:ascii="方正小标宋简体" w:hAnsi="宋体" w:eastAsia="方正小标宋简体" w:cs="Times New Roman"/>
          <w:bCs/>
          <w:sz w:val="44"/>
          <w:szCs w:val="44"/>
        </w:rPr>
      </w:pPr>
      <w:bookmarkStart w:id="1" w:name="_GoBack"/>
      <w:bookmarkEnd w:id="1"/>
    </w:p>
    <w:p w14:paraId="66FA00D6">
      <w:pPr>
        <w:spacing w:after="156" w:line="560" w:lineRule="exact"/>
        <w:jc w:val="center"/>
        <w:textAlignment w:val="baseline"/>
        <w:rPr>
          <w:rStyle w:val="7"/>
          <w:rFonts w:ascii="方正小标宋简体" w:hAnsi="宋体" w:eastAsia="方正小标宋简体" w:cs="Times New Roman"/>
          <w:bCs/>
          <w:sz w:val="44"/>
          <w:szCs w:val="44"/>
        </w:rPr>
      </w:pPr>
    </w:p>
    <w:p w14:paraId="09466BC3">
      <w:pPr>
        <w:snapToGrid w:val="0"/>
        <w:spacing w:line="300" w:lineRule="auto"/>
        <w:jc w:val="center"/>
        <w:textAlignment w:val="baseline"/>
        <w:rPr>
          <w:rStyle w:val="7"/>
          <w:rFonts w:ascii="Times New Roman" w:hAnsi="Times New Roman" w:eastAsia="宋体"/>
          <w:b/>
          <w:spacing w:val="-10"/>
          <w:sz w:val="44"/>
          <w:szCs w:val="32"/>
        </w:rPr>
      </w:pPr>
      <w:r>
        <w:rPr>
          <w:rStyle w:val="7"/>
          <w:rFonts w:hint="eastAsia" w:ascii="Times New Roman" w:hAnsi="Times New Roman" w:eastAsia="宋体"/>
          <w:b/>
          <w:spacing w:val="-10"/>
          <w:sz w:val="44"/>
          <w:szCs w:val="32"/>
        </w:rPr>
        <w:t>戏剧与影视学学位授权点建设年度报告</w:t>
      </w:r>
    </w:p>
    <w:p w14:paraId="61988BAA">
      <w:pPr>
        <w:snapToGrid w:val="0"/>
        <w:spacing w:line="300" w:lineRule="auto"/>
        <w:jc w:val="center"/>
        <w:textAlignment w:val="baseline"/>
        <w:rPr>
          <w:rStyle w:val="7"/>
          <w:rFonts w:ascii="Times New Roman" w:hAnsi="Times New Roman" w:eastAsia="宋体"/>
          <w:b/>
          <w:spacing w:val="-10"/>
          <w:sz w:val="44"/>
          <w:szCs w:val="32"/>
        </w:rPr>
      </w:pPr>
      <w:r>
        <w:rPr>
          <w:rStyle w:val="7"/>
          <w:rFonts w:hint="eastAsia" w:ascii="Times New Roman" w:hAnsi="Times New Roman" w:eastAsia="宋体"/>
          <w:b/>
          <w:spacing w:val="-10"/>
          <w:sz w:val="44"/>
          <w:szCs w:val="32"/>
        </w:rPr>
        <w:t>（2</w:t>
      </w:r>
      <w:r>
        <w:rPr>
          <w:rStyle w:val="7"/>
          <w:rFonts w:ascii="Times New Roman" w:hAnsi="Times New Roman" w:eastAsia="宋体"/>
          <w:b/>
          <w:spacing w:val="-10"/>
          <w:sz w:val="44"/>
          <w:szCs w:val="32"/>
        </w:rPr>
        <w:t>02</w:t>
      </w:r>
      <w:r>
        <w:rPr>
          <w:rStyle w:val="7"/>
          <w:rFonts w:hint="eastAsia" w:ascii="Times New Roman" w:hAnsi="Times New Roman" w:eastAsia="宋体"/>
          <w:b/>
          <w:spacing w:val="-10"/>
          <w:sz w:val="44"/>
          <w:szCs w:val="32"/>
        </w:rPr>
        <w:t>3年）</w:t>
      </w:r>
    </w:p>
    <w:p w14:paraId="19840D2B">
      <w:pPr>
        <w:spacing w:after="156" w:line="560" w:lineRule="exact"/>
        <w:jc w:val="center"/>
        <w:textAlignment w:val="baseline"/>
        <w:rPr>
          <w:rStyle w:val="7"/>
          <w:rFonts w:ascii="方正小标宋简体" w:hAnsi="宋体" w:eastAsia="方正小标宋简体" w:cs="Times New Roman"/>
          <w:bCs/>
          <w:sz w:val="44"/>
          <w:szCs w:val="44"/>
        </w:rPr>
      </w:pPr>
    </w:p>
    <w:p w14:paraId="1FC515FB">
      <w:pPr>
        <w:snapToGrid w:val="0"/>
        <w:jc w:val="center"/>
        <w:textAlignment w:val="baseline"/>
        <w:rPr>
          <w:rStyle w:val="7"/>
          <w:rFonts w:ascii="Times New Roman" w:hAnsi="Times New Roman" w:eastAsia="宋体"/>
          <w:b/>
          <w:sz w:val="48"/>
          <w:szCs w:val="20"/>
        </w:rPr>
      </w:pPr>
    </w:p>
    <w:p w14:paraId="771C50CD">
      <w:pPr>
        <w:snapToGrid w:val="0"/>
        <w:spacing w:line="300" w:lineRule="auto"/>
        <w:textAlignment w:val="baseline"/>
        <w:rPr>
          <w:rStyle w:val="7"/>
          <w:rFonts w:ascii="Times New Roman" w:hAnsi="Times New Roman" w:eastAsia="宋体"/>
          <w:b/>
          <w:szCs w:val="32"/>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267BC6D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4D18CD0B">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学科授予单位</w:t>
            </w:r>
          </w:p>
        </w:tc>
        <w:tc>
          <w:tcPr>
            <w:tcW w:w="3977" w:type="dxa"/>
            <w:tcBorders>
              <w:top w:val="nil"/>
              <w:left w:val="single" w:color="000000" w:sz="4" w:space="0"/>
              <w:bottom w:val="single" w:color="000000" w:sz="4" w:space="0"/>
              <w:right w:val="nil"/>
            </w:tcBorders>
            <w:vAlign w:val="center"/>
          </w:tcPr>
          <w:p w14:paraId="25B4C0B0">
            <w:pPr>
              <w:snapToGrid w:val="0"/>
              <w:spacing w:line="300" w:lineRule="auto"/>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全称</w:t>
            </w:r>
            <w:r>
              <w:rPr>
                <w:rStyle w:val="7"/>
                <w:rFonts w:ascii="Times New Roman" w:hAnsi="Times New Roman" w:eastAsia="宋体"/>
                <w:b/>
                <w:spacing w:val="-10"/>
                <w:szCs w:val="32"/>
              </w:rPr>
              <w:t>：</w:t>
            </w:r>
            <w:r>
              <w:rPr>
                <w:rStyle w:val="7"/>
                <w:rFonts w:hint="eastAsia" w:ascii="Times New Roman" w:hAnsi="Times New Roman" w:eastAsia="宋体"/>
                <w:b/>
                <w:spacing w:val="-10"/>
                <w:szCs w:val="32"/>
              </w:rPr>
              <w:t>上海音乐学院</w:t>
            </w:r>
          </w:p>
        </w:tc>
      </w:tr>
      <w:tr w14:paraId="3BEE67E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28324389">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13FB6AB9">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代码：</w:t>
            </w:r>
            <w:r>
              <w:rPr>
                <w:rStyle w:val="7"/>
                <w:rFonts w:hint="eastAsia" w:ascii="Times New Roman" w:hAnsi="Times New Roman" w:eastAsia="宋体"/>
                <w:b/>
                <w:spacing w:val="-10"/>
                <w:szCs w:val="32"/>
              </w:rPr>
              <w:t>1</w:t>
            </w:r>
            <w:r>
              <w:rPr>
                <w:rStyle w:val="7"/>
                <w:rFonts w:ascii="Times New Roman" w:hAnsi="Times New Roman" w:eastAsia="宋体"/>
                <w:b/>
                <w:spacing w:val="-10"/>
                <w:szCs w:val="32"/>
              </w:rPr>
              <w:t>0278</w:t>
            </w:r>
          </w:p>
        </w:tc>
      </w:tr>
    </w:tbl>
    <w:p w14:paraId="40894F48">
      <w:pPr>
        <w:snapToGrid w:val="0"/>
        <w:spacing w:line="300" w:lineRule="auto"/>
        <w:jc w:val="center"/>
        <w:textAlignment w:val="baseline"/>
        <w:rPr>
          <w:rStyle w:val="7"/>
          <w:rFonts w:ascii="Times New Roman" w:hAnsi="Times New Roman" w:eastAsia="宋体"/>
          <w:b/>
          <w:sz w:val="48"/>
          <w:szCs w:val="2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451AE15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6F231BD7">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授权学科</w:t>
            </w:r>
          </w:p>
        </w:tc>
        <w:tc>
          <w:tcPr>
            <w:tcW w:w="3977" w:type="dxa"/>
            <w:tcBorders>
              <w:top w:val="nil"/>
              <w:left w:val="single" w:color="000000" w:sz="4" w:space="0"/>
              <w:bottom w:val="single" w:color="000000" w:sz="4" w:space="0"/>
              <w:right w:val="nil"/>
            </w:tcBorders>
            <w:vAlign w:val="center"/>
          </w:tcPr>
          <w:p w14:paraId="42DACA90">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名称：</w:t>
            </w:r>
            <w:r>
              <w:rPr>
                <w:rStyle w:val="7"/>
                <w:rFonts w:hint="eastAsia" w:ascii="Times New Roman" w:hAnsi="Times New Roman" w:eastAsia="宋体"/>
                <w:b/>
                <w:spacing w:val="-10"/>
                <w:szCs w:val="32"/>
              </w:rPr>
              <w:t>戏剧与影视学</w:t>
            </w:r>
          </w:p>
        </w:tc>
      </w:tr>
      <w:tr w14:paraId="1967301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3BAE5E91">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6888BBB9">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代码：1303</w:t>
            </w:r>
          </w:p>
        </w:tc>
      </w:tr>
    </w:tbl>
    <w:p w14:paraId="4E46D117">
      <w:pPr>
        <w:spacing w:line="560" w:lineRule="exact"/>
        <w:jc w:val="center"/>
        <w:textAlignment w:val="baseline"/>
        <w:rPr>
          <w:rStyle w:val="7"/>
          <w:rFonts w:ascii="Times New Roman" w:hAnsi="Times New Roman" w:eastAsia="楷体_GB2312"/>
          <w:b/>
          <w:sz w:val="30"/>
          <w:szCs w:val="3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76AA39D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0207F677">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授权级别</w:t>
            </w:r>
          </w:p>
        </w:tc>
        <w:tc>
          <w:tcPr>
            <w:tcW w:w="3977" w:type="dxa"/>
            <w:tcBorders>
              <w:top w:val="nil"/>
              <w:left w:val="single" w:color="000000" w:sz="4" w:space="0"/>
              <w:bottom w:val="single" w:color="000000" w:sz="4" w:space="0"/>
              <w:right w:val="nil"/>
            </w:tcBorders>
            <w:vAlign w:val="center"/>
          </w:tcPr>
          <w:p w14:paraId="768D7034">
            <w:pPr>
              <w:snapToGrid w:val="0"/>
              <w:spacing w:line="300" w:lineRule="auto"/>
              <w:textAlignment w:val="baseline"/>
              <w:rPr>
                <w:rStyle w:val="7"/>
                <w:rFonts w:ascii="Times New Roman" w:hAnsi="Times New Roman" w:eastAsia="宋体"/>
                <w:b/>
                <w:spacing w:val="-10"/>
                <w:szCs w:val="32"/>
              </w:rPr>
            </w:pPr>
            <w:r>
              <w:rPr>
                <w:rStyle w:val="7"/>
                <w:rFonts w:hint="eastAsia" w:ascii="Segoe UI Emoji" w:hAnsi="Segoe UI Emoji" w:eastAsia="Segoe UI Emoji" w:cs="Segoe UI Emoji"/>
                <w:b/>
                <w:spacing w:val="-10"/>
                <w:szCs w:val="32"/>
              </w:rPr>
              <w:t>□</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 xml:space="preserve">博 </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士</w:t>
            </w:r>
          </w:p>
        </w:tc>
      </w:tr>
      <w:tr w14:paraId="6BB86EE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65B993F5">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40BE1FF6">
            <w:pPr>
              <w:snapToGrid w:val="0"/>
              <w:spacing w:line="300" w:lineRule="auto"/>
              <w:textAlignment w:val="baseline"/>
              <w:rPr>
                <w:rStyle w:val="7"/>
                <w:rFonts w:ascii="Times New Roman" w:hAnsi="Times New Roman" w:eastAsia="宋体"/>
                <w:b/>
                <w:spacing w:val="-10"/>
                <w:szCs w:val="32"/>
              </w:rPr>
            </w:pPr>
            <w:r>
              <w:rPr>
                <w:rStyle w:val="7"/>
                <w:rFonts w:ascii="Segoe UI Symbol" w:hAnsi="Segoe UI Symbol" w:eastAsia="宋体" w:cs="Segoe UI Symbol"/>
                <w:b/>
                <w:spacing w:val="-10"/>
                <w:szCs w:val="32"/>
              </w:rPr>
              <w:t>☑</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 xml:space="preserve">硕 </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士</w:t>
            </w:r>
          </w:p>
        </w:tc>
      </w:tr>
    </w:tbl>
    <w:p w14:paraId="27AABE30">
      <w:pPr>
        <w:pStyle w:val="8"/>
        <w:widowControl/>
        <w:rPr>
          <w:rStyle w:val="7"/>
          <w:color w:val="auto"/>
        </w:rPr>
      </w:pPr>
    </w:p>
    <w:p w14:paraId="77827FA6"/>
    <w:p w14:paraId="1E75F629">
      <w:pPr>
        <w:spacing w:line="560" w:lineRule="exact"/>
        <w:jc w:val="center"/>
        <w:textAlignment w:val="baseline"/>
        <w:rPr>
          <w:rStyle w:val="7"/>
          <w:rFonts w:ascii="Times New Roman" w:hAnsi="Times New Roman" w:eastAsia="楷体_GB2312"/>
          <w:b/>
          <w:sz w:val="30"/>
          <w:szCs w:val="30"/>
        </w:rPr>
      </w:pPr>
    </w:p>
    <w:p w14:paraId="155021E5">
      <w:pPr>
        <w:spacing w:line="560" w:lineRule="exact"/>
        <w:jc w:val="center"/>
        <w:textAlignment w:val="baseline"/>
        <w:rPr>
          <w:rStyle w:val="7"/>
          <w:rFonts w:ascii="黑体" w:hAnsi="黑体" w:eastAsia="黑体"/>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Style w:val="7"/>
          <w:rFonts w:ascii="Times New Roman" w:hAnsi="Times New Roman" w:eastAsia="楷体_GB2312"/>
          <w:b/>
          <w:szCs w:val="32"/>
        </w:rPr>
        <w:t>202</w:t>
      </w:r>
      <w:r>
        <w:rPr>
          <w:rStyle w:val="7"/>
          <w:rFonts w:hint="eastAsia" w:ascii="Times New Roman" w:hAnsi="Times New Roman" w:eastAsia="楷体_GB2312"/>
          <w:b/>
          <w:szCs w:val="32"/>
        </w:rPr>
        <w:t>4</w:t>
      </w:r>
      <w:r>
        <w:rPr>
          <w:rStyle w:val="7"/>
          <w:rFonts w:ascii="Times New Roman" w:hAnsi="Times New Roman" w:eastAsia="楷体_GB2312"/>
          <w:b/>
          <w:szCs w:val="32"/>
        </w:rPr>
        <w:t>年</w:t>
      </w:r>
      <w:r>
        <w:rPr>
          <w:rStyle w:val="7"/>
          <w:rFonts w:hint="eastAsia" w:ascii="Times New Roman" w:hAnsi="Times New Roman" w:eastAsia="楷体_GB2312"/>
          <w:b/>
          <w:szCs w:val="32"/>
        </w:rPr>
        <w:t>3</w:t>
      </w:r>
      <w:r>
        <w:rPr>
          <w:rStyle w:val="7"/>
          <w:rFonts w:ascii="Times New Roman" w:hAnsi="Times New Roman" w:eastAsia="楷体_GB2312"/>
          <w:b/>
          <w:szCs w:val="32"/>
        </w:rPr>
        <w:t>月</w:t>
      </w:r>
      <w:r>
        <w:rPr>
          <w:rStyle w:val="7"/>
          <w:rFonts w:hint="eastAsia" w:ascii="Times New Roman" w:hAnsi="Times New Roman" w:eastAsia="楷体_GB2312"/>
          <w:b/>
          <w:szCs w:val="32"/>
        </w:rPr>
        <w:t>8</w:t>
      </w:r>
      <w:r>
        <w:rPr>
          <w:rStyle w:val="7"/>
          <w:rFonts w:ascii="Times New Roman" w:hAnsi="Times New Roman" w:eastAsia="楷体_GB2312"/>
          <w:b/>
          <w:szCs w:val="32"/>
        </w:rPr>
        <w:t>日</w:t>
      </w:r>
    </w:p>
    <w:p w14:paraId="1DC87F22">
      <w:pPr>
        <w:spacing w:line="460" w:lineRule="exact"/>
        <w:jc w:val="center"/>
        <w:rPr>
          <w:rFonts w:ascii="华文中宋" w:hAnsi="华文中宋" w:eastAsia="华文中宋" w:cs="宋体"/>
          <w:b/>
          <w:bCs/>
          <w:sz w:val="36"/>
          <w:szCs w:val="28"/>
        </w:rPr>
      </w:pPr>
      <w:r>
        <w:rPr>
          <w:rFonts w:hint="eastAsia" w:ascii="华文中宋" w:hAnsi="华文中宋" w:eastAsia="华文中宋" w:cs="宋体"/>
          <w:b/>
          <w:bCs/>
          <w:sz w:val="36"/>
          <w:szCs w:val="28"/>
        </w:rPr>
        <w:t>上海音乐学院戏剧与影视学学位授权点建设年度报告</w:t>
      </w:r>
    </w:p>
    <w:p w14:paraId="72564DA3">
      <w:pPr>
        <w:spacing w:line="460" w:lineRule="exact"/>
        <w:jc w:val="center"/>
        <w:rPr>
          <w:rFonts w:ascii="华文中宋" w:hAnsi="华文中宋" w:eastAsia="华文中宋" w:cs="宋体"/>
          <w:b/>
          <w:bCs/>
          <w:sz w:val="36"/>
          <w:szCs w:val="28"/>
        </w:rPr>
      </w:pPr>
      <w:r>
        <w:rPr>
          <w:rFonts w:hint="eastAsia" w:ascii="华文中宋" w:hAnsi="华文中宋" w:eastAsia="华文中宋" w:cs="宋体"/>
          <w:b/>
          <w:bCs/>
          <w:sz w:val="36"/>
          <w:szCs w:val="28"/>
        </w:rPr>
        <w:t>（2023）</w:t>
      </w:r>
    </w:p>
    <w:p w14:paraId="25CA94DB">
      <w:pPr>
        <w:spacing w:line="560" w:lineRule="exact"/>
        <w:rPr>
          <w:rFonts w:ascii="仿宋_GB2312" w:hAnsi="宋体" w:eastAsia="仿宋_GB2312" w:cs="宋体"/>
          <w:b/>
          <w:bCs/>
          <w:sz w:val="28"/>
          <w:szCs w:val="28"/>
        </w:rPr>
      </w:pPr>
    </w:p>
    <w:p w14:paraId="098073E1">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一、学位点基本概况</w:t>
      </w:r>
    </w:p>
    <w:p w14:paraId="32C0978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上海音乐学院戏剧与影视学学科享有背靠音乐学院的传统优势，打造具有音乐特色的戏剧与影视学科，突出“音乐戏剧”独特规律，即作为以音乐作为主要媒介和形式语言核心的戏剧体裁，其创作和表演实践既符合戏剧、音乐形式的一般规律，也有自身语言规律和形式规律。</w:t>
      </w:r>
    </w:p>
    <w:p w14:paraId="0464CB2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建设目标以原创剧目为核心、以多媒体舞台呈现为特色，凸显音乐戏剧学科的核心竞争力；加强和推动我院原创剧目优势，探索以现代数字媒体技术为支撑、以跨界与融合为核心的艺术创作与舞台实践；总结和探索在新媒介、新情景下的艺术创作思维、方式及审美意象。下设音乐戏剧（歌剧与音乐剧）研究、媒体与舞台艺术、影视音乐创制等二级学科方向。建立歌剧与音乐剧舞台排演体系；聚焦音乐戏剧创作评述和理论研究、音乐影像文献研究；立足戏剧及影视音乐创编，数字媒体及舞台艺术创新。以上音歌剧院为平台载体，推动产学研融合，发挥上海区位优势，深入地为经济社会与文化建设服务。理论建设方面，以于会泳为代表的老一辈学者在中国戏曲的理论研究和改革实践方面取得了令人瞩目的成果。重要研究成果在国内学术界占据领先地位。</w:t>
      </w:r>
    </w:p>
    <w:p w14:paraId="47A5049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围绕国家文化发展战略，持续产出《数字化剧场艺术创作的理论与实践研究》《沉浸式虚拟现实跨媒体展演工程系统开发项目》《中国歌剧学科体系建构与研究》等一批国家级、省部级高水平艺术科研创新成果。</w:t>
      </w:r>
    </w:p>
    <w:p w14:paraId="023AAD06">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（一）学科方向及特色</w:t>
      </w:r>
    </w:p>
    <w:p w14:paraId="726A9FF5">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科包涵音乐戏剧研究、歌剧理论研究、音乐影像志学等三个方向，音乐戏剧研究、歌剧理论研究主要从事对歌剧、音乐剧的创作、排演、推广、传承等方面的理论研究，同时对相关批评和中外比较研究方面也有拓展。音乐影像志学是由音乐学、人类学与影视学结合的交叉学科。该方向注重研究音乐影像志的理论体系，运用影像创作工具（包括摄影/摄像机、照相机、电脑，3D影像、全息影像、虚拟现实等新视觉手段），拓展音乐文化表述及音乐民族志的表现能力，构建音乐文化的影像表述系统。该学科师资目前包括上海音乐学院骨干教师及本院全职或柔性引进的、在本领域卓有影响的国内外专家学者。教学成果体现理论专著、译著及媒体、乐展等影像设计方案等。</w:t>
      </w:r>
    </w:p>
    <w:p w14:paraId="7F4BF82B">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培养目标</w:t>
      </w:r>
    </w:p>
    <w:p w14:paraId="3D2251E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科充分汲取国内外优质学术资源，凝聚了一批由国内与国际优秀学者构成的一流师资队伍。学科理论人才的培养一方面注重拓宽学生的学术视野、增强其学术创新力与运用力，另一方面深入专研学科尖端问题，执普识学养与艰深理论两端来培养人才；在音乐戏剧创作、表演人才培养方面，通过不断拓宽学生的国际视野和深耕中国特色的音乐文化，使学生在人文熏陶和创作两个方面都得到培养与发展。从而实现出一流剧作作品和一流表演人才的学科与人才培养目标。</w:t>
      </w:r>
    </w:p>
    <w:p w14:paraId="0A4AC01C">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师资队伍</w:t>
      </w:r>
    </w:p>
    <w:p w14:paraId="71F5D60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本学位授权点共有专任教师10名，其中正高级职称8名，副高级职称2人；最高学位博士8人，硕士2人；硕士生导师10人。</w:t>
      </w:r>
    </w:p>
    <w:p w14:paraId="05602968">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二、党建与思想政治教育</w:t>
      </w:r>
    </w:p>
    <w:p w14:paraId="136CA03C">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lang w:bidi="ar"/>
        </w:rPr>
        <w:t>（一）师德师风建设</w:t>
      </w:r>
    </w:p>
    <w:p w14:paraId="20FA65D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4DAA3ED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03BFC88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进一步深入贯彻落实党的二十大精神，深入推进习近平新时代中国特色社会主义思想主题教育“后半篇文章”，加强师德师风建设，树立“躬耕教坛、强国有我”的志向和抱负，围绕思政育人，提高教师教学能力，加强拔尖创新人才培养，深化“四新”建设，教师发展中心、党委教师工作部于10月25日、11月1日举办2023秋季上海音乐学院青年教师教学暨师德师风培训班。本次培训班共有七场讲座，分为三大板块：一、师德师风建设；二、聚焦赛事，以赛促建；三、大思政视域下对于课程思政的探索和思考。学校推行“教创演研一体化”的人才培养模式，把师德师风建设融入“教”、“创”、“演”、“研”每个环节。同时，师德师风建设还与学院的中心工作结合在一起，与后续的重点工作结合在一起。人才工作和师德师风建设是贯彻全年的重要工作。</w:t>
      </w:r>
    </w:p>
    <w:p w14:paraId="5409E356">
      <w:pPr>
        <w:spacing w:line="560" w:lineRule="exact"/>
        <w:ind w:firstLine="560" w:firstLineChars="200"/>
        <w:rPr>
          <w:rFonts w:ascii="仿宋_GB2312" w:hAnsi="宋体" w:eastAsia="仿宋_GB2312" w:cs="宋体"/>
          <w:sz w:val="28"/>
          <w:szCs w:val="28"/>
        </w:rPr>
      </w:pPr>
    </w:p>
    <w:p w14:paraId="7A1D3FF7">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就业工作</w:t>
      </w:r>
    </w:p>
    <w:p w14:paraId="26B0E33F">
      <w:pPr>
        <w:spacing w:line="560" w:lineRule="exact"/>
        <w:ind w:firstLine="560" w:firstLineChars="200"/>
        <w:rPr>
          <w:rFonts w:ascii="仿宋_GB2312" w:hAnsi="Times New Roman" w:eastAsia="仿宋_GB2312" w:cs="Times New Roman"/>
          <w:sz w:val="28"/>
          <w:szCs w:val="28"/>
        </w:rPr>
      </w:pPr>
      <w:r>
        <w:rPr>
          <w:rFonts w:hint="eastAsia" w:ascii="仿宋_GB2312" w:hAnsi="宋体" w:eastAsia="仿宋_GB2312" w:cs="宋体"/>
          <w:sz w:val="28"/>
          <w:szCs w:val="28"/>
        </w:rPr>
        <w:t>学校开展了各类稳毕业、促就业、扶创业的工作，并顺利举办多次“研究生就业与创业服务季”专题活动，主题覆盖考博经验分享高校教师应聘、文化事业单位行政或教育岗、三支一扶政策详解、与图书有关的岗位、体制内外的演艺生涯、创业感悟分享等。2023年度</w:t>
      </w:r>
      <w:r>
        <w:rPr>
          <w:rFonts w:hint="eastAsia" w:ascii="仿宋_GB2312" w:hAnsi="Times New Roman" w:eastAsia="仿宋_GB2312" w:cs="Times New Roman"/>
          <w:sz w:val="28"/>
          <w:szCs w:val="28"/>
        </w:rPr>
        <w:t>戏剧与影视学的硕士毕业生就业落实率75%。</w:t>
      </w:r>
    </w:p>
    <w:p w14:paraId="543F4B5E">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学风建设</w:t>
      </w:r>
    </w:p>
    <w:p w14:paraId="71226A3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引导研究生树立正确的价值取向、学术导向，把正确的思想价值融入科研育人的全过程。研究生部一方面积极推进完善研究生奖惩制度，并在落实奖惩措施的同时积极展开各类学风、科研活动，推进研究生学风建设，提升研究生科研水平。</w:t>
      </w:r>
    </w:p>
    <w:p w14:paraId="68F9981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完成研究生国家奖学金与各类学业奖学金、助学金、中银奖学金、福美奖学金、上音-汉堡联合培养项目奖学金的年度申报、审核、发放工作。组织开展2023届优秀毕业生、三好学生、优秀学生干部等评选工作。举行上海音乐学院第八次研究生代表大会。这些评优奖励活动对研究生全体有较好优秀典型学习示范意义。</w:t>
      </w:r>
    </w:p>
    <w:p w14:paraId="54B3CFD7">
      <w:pPr>
        <w:spacing w:line="560" w:lineRule="exact"/>
        <w:ind w:firstLine="560" w:firstLineChars="200"/>
        <w:rPr>
          <w:rStyle w:val="7"/>
          <w:rFonts w:ascii="仿宋_GB2312" w:hAnsi="仿宋_GB2312" w:eastAsia="仿宋_GB2312" w:cs="仿宋_GB2312"/>
          <w:sz w:val="28"/>
          <w:szCs w:val="28"/>
        </w:rPr>
      </w:pPr>
      <w:r>
        <w:rPr>
          <w:rStyle w:val="7"/>
          <w:rFonts w:ascii="仿宋_GB2312" w:hAnsi="仿宋_GB2312" w:eastAsia="仿宋_GB2312" w:cs="仿宋_GB2312"/>
          <w:sz w:val="28"/>
          <w:szCs w:val="28"/>
        </w:rPr>
        <w:t>2023年9月26日</w:t>
      </w:r>
      <w:r>
        <w:rPr>
          <w:rStyle w:val="7"/>
          <w:rFonts w:hint="eastAsia" w:ascii="仿宋_GB2312" w:hAnsi="仿宋_GB2312" w:eastAsia="仿宋_GB2312" w:cs="仿宋_GB2312"/>
          <w:sz w:val="28"/>
          <w:szCs w:val="28"/>
        </w:rPr>
        <w:t>-12月7日举行了</w:t>
      </w:r>
      <w:r>
        <w:rPr>
          <w:rStyle w:val="7"/>
          <w:rFonts w:ascii="仿宋_GB2312" w:hAnsi="仿宋_GB2312" w:eastAsia="仿宋_GB2312" w:cs="仿宋_GB2312"/>
          <w:sz w:val="28"/>
          <w:szCs w:val="28"/>
        </w:rPr>
        <w:t>上海音乐学院第十八届奏鸣·研究生艺术节。奏鸣·研究生艺术节不仅是艺术交融的盛宴，也是一个学术交流、提升修为的优质平台。本届艺术节活动共计32场，全面覆盖了教学、创作、演出、研究等多个环节，呈现了集视听、思想、实践于一体的学术盛宴和艺术盛会。历时整个秋季学期，充分将各类活动融入日常教学中，丰富了研究生的培养模式，全方位、多角度地展现出研究教育的全面性、实践性、综合性，体现了上海音乐学院“教创演研”一体化的人才培养模式</w:t>
      </w:r>
      <w:r>
        <w:rPr>
          <w:rStyle w:val="7"/>
          <w:rFonts w:hint="eastAsia" w:ascii="仿宋_GB2312" w:hAnsi="仿宋_GB2312" w:eastAsia="仿宋_GB2312" w:cs="仿宋_GB2312"/>
          <w:sz w:val="28"/>
          <w:szCs w:val="28"/>
        </w:rPr>
        <w:t>。</w:t>
      </w:r>
    </w:p>
    <w:p w14:paraId="389F09D2">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11月27-28日，上海音乐学院教育教学工作会议召开，党委书记裴小倩、院长廖昌永出席并讲话。研究生部主任钱仁平教授作题为“优化学科专业结构，赋能拔尖创新音乐艺术人才培养”工作报告。</w:t>
      </w:r>
    </w:p>
    <w:p w14:paraId="2590814A">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文化传承和艺术科创</w:t>
      </w:r>
    </w:p>
    <w:p w14:paraId="18A75EC5">
      <w:pPr>
        <w:spacing w:line="560" w:lineRule="exact"/>
        <w:ind w:firstLine="562" w:firstLineChars="200"/>
        <w:rPr>
          <w:rFonts w:ascii="仿宋_GB2312" w:hAnsi="宋体" w:eastAsia="仿宋_GB2312" w:cs="宋体"/>
          <w:b/>
          <w:bCs/>
          <w:sz w:val="28"/>
          <w:szCs w:val="28"/>
          <w:lang w:bidi="ar"/>
        </w:rPr>
      </w:pPr>
      <w:r>
        <w:rPr>
          <w:rFonts w:hint="eastAsia" w:ascii="仿宋_GB2312" w:hAnsi="宋体" w:eastAsia="仿宋_GB2312" w:cs="宋体"/>
          <w:b/>
          <w:bCs/>
          <w:sz w:val="28"/>
          <w:szCs w:val="28"/>
          <w:lang w:bidi="ar"/>
        </w:rPr>
        <w:t>（一）科教协同育人情况</w:t>
      </w:r>
    </w:p>
    <w:p w14:paraId="2750E523">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2023年，上海音乐学院通过积极参与“国家社科基金艺术学重大项目”“国家艺术基金人才培养项目”及所在学科、专业的助研、助教工作，研究生的学术素养、科研水平、创新能力，乃至职业发展潜能均得到显著提升。</w:t>
      </w:r>
    </w:p>
    <w:p w14:paraId="77F31FD0">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lang w:bidi="ar"/>
        </w:rPr>
        <w:t>（二）学生参加本领域国内外重要学术会议情况</w:t>
      </w:r>
    </w:p>
    <w:tbl>
      <w:tblPr>
        <w:tblStyle w:val="4"/>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7"/>
        <w:gridCol w:w="3543"/>
        <w:gridCol w:w="2552"/>
      </w:tblGrid>
      <w:tr w14:paraId="67E1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shd w:val="clear" w:color="000000" w:fill="EAEFF7"/>
            <w:vAlign w:val="center"/>
          </w:tcPr>
          <w:p w14:paraId="4A6DC88F">
            <w:pPr>
              <w:widowControl/>
              <w:spacing w:line="240" w:lineRule="exact"/>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报告时间</w:t>
            </w:r>
          </w:p>
        </w:tc>
        <w:tc>
          <w:tcPr>
            <w:tcW w:w="729" w:type="pct"/>
            <w:shd w:val="clear" w:color="000000" w:fill="EAEFF7"/>
            <w:vAlign w:val="center"/>
          </w:tcPr>
          <w:p w14:paraId="5A0471FE">
            <w:pPr>
              <w:widowControl/>
              <w:spacing w:line="240" w:lineRule="exact"/>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学生姓名</w:t>
            </w:r>
          </w:p>
        </w:tc>
        <w:tc>
          <w:tcPr>
            <w:tcW w:w="2023" w:type="pct"/>
            <w:shd w:val="clear" w:color="000000" w:fill="EAEFF7"/>
            <w:vAlign w:val="center"/>
          </w:tcPr>
          <w:p w14:paraId="6CE2AB0F">
            <w:pPr>
              <w:widowControl/>
              <w:spacing w:line="240" w:lineRule="exact"/>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会议名称</w:t>
            </w:r>
          </w:p>
        </w:tc>
        <w:tc>
          <w:tcPr>
            <w:tcW w:w="1457" w:type="pct"/>
            <w:shd w:val="clear" w:color="000000" w:fill="EAEFF7"/>
            <w:vAlign w:val="center"/>
          </w:tcPr>
          <w:p w14:paraId="61F06648">
            <w:pPr>
              <w:widowControl/>
              <w:spacing w:line="240" w:lineRule="exact"/>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报告题目</w:t>
            </w:r>
          </w:p>
        </w:tc>
      </w:tr>
      <w:tr w14:paraId="18B4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shd w:val="clear" w:color="000000" w:fill="EBEFF7"/>
            <w:vAlign w:val="center"/>
          </w:tcPr>
          <w:p w14:paraId="27655D91">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2023/3/29</w:t>
            </w:r>
          </w:p>
        </w:tc>
        <w:tc>
          <w:tcPr>
            <w:tcW w:w="729" w:type="pct"/>
            <w:shd w:val="clear" w:color="auto" w:fill="auto"/>
            <w:vAlign w:val="center"/>
          </w:tcPr>
          <w:p w14:paraId="48E1AD0C">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李乃馨</w:t>
            </w:r>
          </w:p>
        </w:tc>
        <w:tc>
          <w:tcPr>
            <w:tcW w:w="2023" w:type="pct"/>
            <w:shd w:val="clear" w:color="auto" w:fill="auto"/>
            <w:vAlign w:val="center"/>
          </w:tcPr>
          <w:p w14:paraId="146C599B">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第二届中国音乐影像志学科论坛</w:t>
            </w:r>
          </w:p>
        </w:tc>
        <w:tc>
          <w:tcPr>
            <w:tcW w:w="1457" w:type="pct"/>
            <w:shd w:val="clear" w:color="auto" w:fill="auto"/>
            <w:vAlign w:val="center"/>
          </w:tcPr>
          <w:p w14:paraId="6EB25D5E">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主客位视角下的真实性反思</w:t>
            </w:r>
          </w:p>
        </w:tc>
      </w:tr>
      <w:tr w14:paraId="095E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shd w:val="clear" w:color="000000" w:fill="EBEFF7"/>
            <w:vAlign w:val="center"/>
          </w:tcPr>
          <w:p w14:paraId="46378D6F">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2023/6/27</w:t>
            </w:r>
          </w:p>
        </w:tc>
        <w:tc>
          <w:tcPr>
            <w:tcW w:w="729" w:type="pct"/>
            <w:shd w:val="clear" w:color="auto" w:fill="auto"/>
            <w:vAlign w:val="center"/>
          </w:tcPr>
          <w:p w14:paraId="53E0AF1B">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张小丹</w:t>
            </w:r>
          </w:p>
        </w:tc>
        <w:tc>
          <w:tcPr>
            <w:tcW w:w="2023" w:type="pct"/>
            <w:shd w:val="clear" w:color="auto" w:fill="auto"/>
            <w:vAlign w:val="center"/>
          </w:tcPr>
          <w:p w14:paraId="4F8B9F51">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第二十二届国际流行音乐研究协会（IASPM）双年会</w:t>
            </w:r>
          </w:p>
        </w:tc>
        <w:tc>
          <w:tcPr>
            <w:tcW w:w="1457" w:type="pct"/>
            <w:shd w:val="clear" w:color="auto" w:fill="auto"/>
            <w:vAlign w:val="center"/>
          </w:tcPr>
          <w:p w14:paraId="15F9AB68">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Quadruple Crises in the Who‘s Quadrophenia</w:t>
            </w:r>
          </w:p>
        </w:tc>
      </w:tr>
      <w:tr w14:paraId="745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shd w:val="clear" w:color="auto" w:fill="EAEFF7"/>
            <w:vAlign w:val="center"/>
          </w:tcPr>
          <w:p w14:paraId="0AC3DBA6">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2023/6/7</w:t>
            </w:r>
          </w:p>
        </w:tc>
        <w:tc>
          <w:tcPr>
            <w:tcW w:w="729" w:type="pct"/>
            <w:shd w:val="clear" w:color="auto" w:fill="auto"/>
            <w:vAlign w:val="center"/>
          </w:tcPr>
          <w:p w14:paraId="57D44CA1">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鄢杜玖坤</w:t>
            </w:r>
          </w:p>
        </w:tc>
        <w:tc>
          <w:tcPr>
            <w:tcW w:w="2023" w:type="pct"/>
            <w:shd w:val="clear" w:color="auto" w:fill="auto"/>
            <w:vAlign w:val="center"/>
          </w:tcPr>
          <w:p w14:paraId="1B47F46B">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国际传统音乐学会（ICTM）第二届全球音乐史研究小组专题研讨会（意大利）</w:t>
            </w:r>
          </w:p>
        </w:tc>
        <w:tc>
          <w:tcPr>
            <w:tcW w:w="1457" w:type="pct"/>
            <w:shd w:val="clear" w:color="auto" w:fill="auto"/>
            <w:vAlign w:val="center"/>
          </w:tcPr>
          <w:p w14:paraId="0AA3E964">
            <w:pPr>
              <w:widowControl/>
              <w:jc w:val="center"/>
              <w:textAlignment w:val="center"/>
              <w:rPr>
                <w:rFonts w:ascii="仿宋_GB2312" w:hAnsi="方正仿宋_GB2312" w:eastAsia="仿宋_GB2312" w:cs="方正仿宋_GB2312"/>
                <w:color w:val="000000"/>
                <w:kern w:val="0"/>
                <w:sz w:val="20"/>
                <w:szCs w:val="20"/>
                <w:lang w:bidi="ar"/>
              </w:rPr>
            </w:pPr>
            <w:r>
              <w:rPr>
                <w:rFonts w:hint="eastAsia" w:ascii="仿宋_GB2312" w:hAnsi="方正仿宋_GB2312" w:eastAsia="仿宋_GB2312" w:cs="方正仿宋_GB2312"/>
                <w:color w:val="000000"/>
                <w:kern w:val="0"/>
                <w:sz w:val="20"/>
                <w:szCs w:val="20"/>
                <w:lang w:bidi="ar"/>
              </w:rPr>
              <w:t>《当代影音叙事中的音乐遗产——以中国经验为例》</w:t>
            </w:r>
          </w:p>
        </w:tc>
      </w:tr>
      <w:tr w14:paraId="34E6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0" w:type="pct"/>
            <w:shd w:val="clear" w:color="auto" w:fill="EAEFF7"/>
            <w:vAlign w:val="center"/>
          </w:tcPr>
          <w:p w14:paraId="68B8D70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color w:val="000000"/>
                <w:kern w:val="0"/>
                <w:sz w:val="20"/>
                <w:szCs w:val="20"/>
                <w:lang w:bidi="ar"/>
              </w:rPr>
              <w:t>2023/9/2</w:t>
            </w:r>
          </w:p>
        </w:tc>
        <w:tc>
          <w:tcPr>
            <w:tcW w:w="729" w:type="pct"/>
            <w:shd w:val="clear" w:color="auto" w:fill="auto"/>
            <w:vAlign w:val="center"/>
          </w:tcPr>
          <w:p w14:paraId="33CFA06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鄢杜玖坤</w:t>
            </w:r>
          </w:p>
        </w:tc>
        <w:tc>
          <w:tcPr>
            <w:tcW w:w="2023" w:type="pct"/>
            <w:shd w:val="clear" w:color="auto" w:fill="auto"/>
            <w:vAlign w:val="center"/>
          </w:tcPr>
          <w:p w14:paraId="5994860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国际传统音乐舞蹈学会（</w:t>
            </w:r>
            <w:r>
              <w:rPr>
                <w:rStyle w:val="10"/>
                <w:rFonts w:hint="eastAsia" w:ascii="仿宋_GB2312" w:hAnsi="方正仿宋_GB2312" w:eastAsia="仿宋_GB2312" w:cs="方正仿宋_GB2312"/>
                <w:lang w:bidi="ar"/>
              </w:rPr>
              <w:t>ICTM</w:t>
            </w:r>
            <w:r>
              <w:rPr>
                <w:rStyle w:val="11"/>
                <w:rFonts w:hint="default" w:ascii="仿宋_GB2312" w:hAnsi="方正仿宋_GB2312" w:eastAsia="仿宋_GB2312" w:cs="方正仿宋_GB2312"/>
                <w:lang w:bidi="ar"/>
              </w:rPr>
              <w:t>）第三届影音民族音乐学研究小组国际研讨会（爱尔兰）</w:t>
            </w:r>
          </w:p>
        </w:tc>
        <w:tc>
          <w:tcPr>
            <w:tcW w:w="1457" w:type="pct"/>
            <w:shd w:val="clear" w:color="auto" w:fill="auto"/>
            <w:vAlign w:val="center"/>
          </w:tcPr>
          <w:p w14:paraId="255CEB4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《音乐影像志应用实践中的真实性问题</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以阿卡人</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滇珩草</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为例》</w:t>
            </w:r>
          </w:p>
        </w:tc>
      </w:tr>
    </w:tbl>
    <w:p w14:paraId="78FF1FEE">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研究生教育综合改革</w:t>
      </w:r>
    </w:p>
    <w:p w14:paraId="04114EEA">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招生工作</w:t>
      </w:r>
    </w:p>
    <w:p w14:paraId="2619F20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本学位授权点2023年硕士研究生招生数12人，均为全日制。</w:t>
      </w:r>
    </w:p>
    <w:p w14:paraId="49587D7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积极应对疫情常态化管理，落实研究生招生工作恢复线下考试，保障招生工作的有序进行。在市教委、校党政班子的领导下，研招办应用信息化手段组织开展线下招生工作，与各院系密切沟通联系，形成招生系列方案与文件包括《上海音乐学院2024年攻读硕士学位研究生招生简章》《</w:t>
      </w:r>
      <w:r>
        <w:fldChar w:fldCharType="begin"/>
      </w:r>
      <w:r>
        <w:instrText xml:space="preserve"> HYPERLINK "https://yjsb.shcmusic.edu.cn/2023/1008/c2675a49010/page.htm" \t "https://yjsb.shcmusic.edu.cn/2675/_blank" \o "上海音乐学院报考点（考点代码：3124）2024年硕士研究生招生考试公告" </w:instrText>
      </w:r>
      <w:r>
        <w:fldChar w:fldCharType="separate"/>
      </w:r>
      <w:r>
        <w:rPr>
          <w:rFonts w:ascii="仿宋_GB2312" w:hAnsi="宋体" w:eastAsia="仿宋_GB2312" w:cs="宋体"/>
          <w:sz w:val="28"/>
          <w:szCs w:val="28"/>
        </w:rPr>
        <w:t>上海音乐学院报考点（考点代码：3124）2024年硕士研究生招生考试公告</w:t>
      </w:r>
      <w:r>
        <w:rPr>
          <w:rFonts w:ascii="仿宋_GB2312" w:hAnsi="宋体" w:eastAsia="仿宋_GB2312" w:cs="宋体"/>
          <w:sz w:val="28"/>
          <w:szCs w:val="28"/>
        </w:rPr>
        <w:fldChar w:fldCharType="end"/>
      </w:r>
      <w:r>
        <w:rPr>
          <w:rFonts w:hint="eastAsia" w:ascii="仿宋_GB2312" w:hAnsi="宋体" w:eastAsia="仿宋_GB2312" w:cs="宋体"/>
          <w:sz w:val="28"/>
          <w:szCs w:val="28"/>
        </w:rPr>
        <w:t>》《2024年全国硕士研究生招生考试上海音乐学院报考点（代码3124）网上确认公告》《上海音乐学院2023年硕士研究生招生复试及录取工作办法》《上海音乐学院2023年硕士研究生招生复试考生须知》《上海音乐学院2023年硕士研究生招生复试分段表》《上海音乐学院2023年博士研究生招生方案》《上海音乐学院2023年博士研究生招生考试安排》《2023年博士研究生复试分段表》《2023年博士研究生招生考试复试日程安排》《上海音乐学院2024年接收推荐免试攻读硕士学位研究生章程》等。</w:t>
      </w:r>
    </w:p>
    <w:p w14:paraId="2ABE3BBD">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培养环节</w:t>
      </w:r>
    </w:p>
    <w:p w14:paraId="5492490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学籍相关工作方面，积极相应上海市教委、上海市学生事务中心的相关要求，认真做好2023级研究生新生人像比对与电子学籍注册工作、其他年级研究生老生电子学籍学年注册工作；组织2023级研究生新生进行学籍自查并督促完成，做到新生全部自查；定期完成2023届研究生毕业生学籍信息核对与订正工作；办理研究生在学期间常规学籍异动(如：休学、复学、延期、退学、换导师、增补论文导师等)；及时进行学籍预警工作（如：对即将超出最长培养年限的研究生提出学籍预警并进行后续相关操作指导；对休学期满的同学进行提醒，指导其如期办理复学等工作等）；按时组织研究生证副卡新卡制证及旧卡遗失补办相关工作；配合上报各批次研究生学籍数据(教育部平台、高基数据、学工部门数据等)；及时更新各平台研究生学籍数据，以保持数据的准确性及一致性（研究生总名单、学信网、研究生教学服务系统等）；及时将已产生的学籍异动数据，及时通知到相关业务部门，以便联动开展后续工作（如综合办、财务处、留学生办公室等）；研究生教学服务系统中的常规学籍数据维护工作（新生学籍数据录入、学籍异动数据录入、毕业生学籍数据迁移等）。</w:t>
      </w:r>
      <w:bookmarkStart w:id="0" w:name="_Hlk163736166"/>
    </w:p>
    <w:p w14:paraId="2AC14BE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研究生课程建设方面，进一步完善研究生课程体系与精品课程相关建设。根据教育部等上级部门的指导与要求，结合我院研究生学科专业的教学规律与发展目标，研究生部联合各教学系部进一步完善研究生课程体系与精品课程的建设，调整硕博研究生课程学分的结构，促进研究生课程配置更贴近各学科专业的发展及对研究生教育质量的提升。本年度新上报研究生选修课程</w:t>
      </w:r>
      <w:r>
        <w:rPr>
          <w:rFonts w:ascii="仿宋_GB2312" w:hAnsi="宋体" w:eastAsia="仿宋_GB2312" w:cs="宋体"/>
          <w:sz w:val="28"/>
          <w:szCs w:val="28"/>
        </w:rPr>
        <w:t>23</w:t>
      </w:r>
      <w:r>
        <w:rPr>
          <w:rFonts w:hint="eastAsia" w:ascii="仿宋_GB2312" w:hAnsi="宋体" w:eastAsia="仿宋_GB2312" w:cs="宋体"/>
          <w:sz w:val="28"/>
          <w:szCs w:val="28"/>
        </w:rPr>
        <w:t>门，成功开课</w:t>
      </w:r>
      <w:r>
        <w:rPr>
          <w:rFonts w:ascii="仿宋_GB2312" w:hAnsi="宋体" w:eastAsia="仿宋_GB2312" w:cs="宋体"/>
          <w:sz w:val="28"/>
          <w:szCs w:val="28"/>
        </w:rPr>
        <w:t>20</w:t>
      </w:r>
      <w:r>
        <w:rPr>
          <w:rFonts w:hint="eastAsia" w:ascii="仿宋_GB2312" w:hAnsi="宋体" w:eastAsia="仿宋_GB2312" w:cs="宋体"/>
          <w:sz w:val="28"/>
          <w:szCs w:val="28"/>
        </w:rPr>
        <w:t>门。</w:t>
      </w:r>
      <w:r>
        <w:rPr>
          <w:rFonts w:ascii="仿宋_GB2312" w:hAnsi="宋体" w:eastAsia="仿宋_GB2312" w:cs="宋体"/>
          <w:sz w:val="28"/>
          <w:szCs w:val="28"/>
        </w:rPr>
        <w:t>7</w:t>
      </w:r>
      <w:r>
        <w:rPr>
          <w:rFonts w:hint="eastAsia" w:ascii="仿宋_GB2312" w:hAnsi="宋体" w:eastAsia="仿宋_GB2312" w:cs="宋体"/>
          <w:sz w:val="28"/>
          <w:szCs w:val="28"/>
        </w:rPr>
        <w:t>月分别组织开展了对于研究生精品课程（课程思政专项）的申报以及评选工作，并围绕研究生核心课程建设的教学需要评选出了精品课程（课程思政专项）专业主课1</w:t>
      </w:r>
      <w:r>
        <w:rPr>
          <w:rFonts w:ascii="仿宋_GB2312" w:hAnsi="宋体" w:eastAsia="仿宋_GB2312" w:cs="宋体"/>
          <w:sz w:val="28"/>
          <w:szCs w:val="28"/>
        </w:rPr>
        <w:t>5</w:t>
      </w:r>
      <w:r>
        <w:rPr>
          <w:rFonts w:hint="eastAsia" w:ascii="仿宋_GB2312" w:hAnsi="宋体" w:eastAsia="仿宋_GB2312" w:cs="宋体"/>
          <w:sz w:val="28"/>
          <w:szCs w:val="28"/>
        </w:rPr>
        <w:t>门，专业基础课7门。</w:t>
      </w:r>
      <w:bookmarkEnd w:id="0"/>
    </w:p>
    <w:p w14:paraId="44E554D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其他培养专题专项工作方面，</w:t>
      </w:r>
      <w:r>
        <w:rPr>
          <w:rFonts w:hint="eastAsia" w:ascii="仿宋" w:hAnsi="仿宋" w:eastAsia="仿宋" w:cs="仿宋"/>
          <w:sz w:val="28"/>
          <w:szCs w:val="28"/>
        </w:rPr>
        <w:t>积极配合完成上海市教育委员会、上海市学位委员会关于开展2023年研究生教育改革项目建设的申报工作。我院此次共提交7项研究生教育改革项目申报，最终有2项获得立项：《基于“歌剧学院”建设的歌剧表演复合应用型研究生人才跨学科培养》（项目负责人：廖昌永教授）、《中国式音乐艺术专业博士人才培养体系创新与实践》（项目负责人：钱仁平教授）。</w:t>
      </w:r>
    </w:p>
    <w:p w14:paraId="2BBA042C">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学位工作</w:t>
      </w:r>
    </w:p>
    <w:p w14:paraId="2CD91E95">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本学位授权点2023年授予博士学位2人，学术型硕士学位4人。为保障学位工作进行，本年逐步推进学位点评估工作，不断完善完成学位授权点合格评估院级自我评估工作方案及评价体系。</w:t>
      </w:r>
    </w:p>
    <w:p w14:paraId="5A45E6C1">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学科建设</w:t>
      </w:r>
    </w:p>
    <w:p w14:paraId="54B7EA4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深耕音乐创作与理论、音乐表演、音乐学理论和音乐应用“四轮驱动”的学科建设模式，积极推动并实现学科交叉融合。“音乐与舞蹈学”在“软科”中国最好学科排行中排名第二；“音乐表演专业”连续两年获“软科”中国大学专业排名第一。学校在QS世界大学排名“艺术表演”中位列第43位，取得历史性突破。在第五轮学科评估中，三个一级学科均取得佳绩，其中“音乐与舞蹈学”持续保持优异成绩。</w:t>
      </w:r>
    </w:p>
    <w:p w14:paraId="0AE43AA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新版学科专业目录调整为契机，优化各学科专业布局。加强优势实践型专业领域“音乐”“戏剧与影视”的远期规划和建设发展，丰富传统学术型一级学科“艺术学”的建设内涵，同时探索音乐人工智能、音乐科技与运用、设计与融媒体、音乐康疗等新兴学科的布局策略，积极发展交叉学科，以适应人才发展和社会需要。学校深入落实中央和市委人才工作会议精神，以新一轮“创新团队”建设为举措，深度对接上海市“人才揽蓄”计划。</w:t>
      </w:r>
    </w:p>
    <w:p w14:paraId="17AB674D">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完成学位授权点对应调整工作。根据国务院学位委员会《关于对有关博士、硕士学位授权点进行对应调整的通知》（学位办〔2022〕21号），为进一步贯彻落实党的二十大会议精神，加快建设高质量研究生教育，全面提高人才自主培养质量，国家启动博士、硕士学位授权点对应调整工作，本次调整工作本着“保证质量、突出特色、积极稳妥”的原则予以推进，确保师生相关利益。我院根据新版研究生学科专业目录，完成对学校原有一级学科的对应调整工作并上报。根据上海市学位委员会《关于转发有关学位授权点对应调整名单》（沪学位〔2023〕4号），我院获艺术学一级学科博士授权点、音乐专业学位博士授权点，戏剧与影视专业学位硕士授权点。根据文件要求，2023年下半年启动的新一轮研究生招生、培养和学位授予工作按照调整后的学科和专业学位类别进行。在校生及2022年启动招生、2023年9月入学学生的培养仍按原学科专业执行。</w:t>
      </w:r>
    </w:p>
    <w:p w14:paraId="0BDC139F">
      <w:pPr>
        <w:spacing w:line="560" w:lineRule="exact"/>
        <w:ind w:firstLine="560" w:firstLineChars="200"/>
        <w:outlineLvl w:val="0"/>
        <w:rPr>
          <w:rFonts w:ascii="仿宋_GB2312" w:hAnsi="宋体" w:eastAsia="仿宋_GB2312" w:cs="宋体"/>
          <w:sz w:val="28"/>
          <w:szCs w:val="28"/>
        </w:rPr>
      </w:pPr>
    </w:p>
    <w:p w14:paraId="75A33E26">
      <w:pPr>
        <w:spacing w:line="560" w:lineRule="exact"/>
        <w:ind w:firstLine="562" w:firstLineChars="200"/>
        <w:outlineLvl w:val="0"/>
        <w:rPr>
          <w:rFonts w:ascii="仿宋_GB2312" w:hAnsi="宋体" w:eastAsia="仿宋_GB2312" w:cs="宋体"/>
          <w:b/>
          <w:sz w:val="28"/>
          <w:szCs w:val="28"/>
        </w:rPr>
      </w:pPr>
      <w:r>
        <w:rPr>
          <w:rFonts w:hint="eastAsia" w:ascii="仿宋_GB2312" w:hAnsi="宋体" w:eastAsia="仿宋_GB2312" w:cs="宋体"/>
          <w:b/>
          <w:sz w:val="28"/>
          <w:szCs w:val="28"/>
        </w:rPr>
        <w:t>五、</w:t>
      </w:r>
      <w:r>
        <w:rPr>
          <w:rFonts w:hint="eastAsia" w:ascii="仿宋_GB2312" w:hAnsi="宋体" w:eastAsia="仿宋_GB2312" w:cs="宋体"/>
          <w:b/>
          <w:bCs/>
          <w:sz w:val="28"/>
          <w:szCs w:val="28"/>
        </w:rPr>
        <w:t>存在的问题与改进举措</w:t>
      </w:r>
    </w:p>
    <w:p w14:paraId="3DE2D25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教育部《全国硕士研究生招生考试自命题工作指导规范》（教学厅[2019]6号）及上海市教育考试院《上海市研究生招生考试自命题工作的指导意见》（沪教考院社考[2019]36号）的文件精神，研究生部于2023年继续推进硕士研究生初试的自命题工作的改革。在制定专业目录前，研究生部与相关学科培养指导委员分会分别召开多次专项会议。经过努力，现已将涉及三个一级学科专业、一个专业学位的15个招生领域的36科的自命题试题切实减少至34科。</w:t>
      </w:r>
    </w:p>
    <w:p w14:paraId="7B54875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将继续推动学校研究生教育适应党和国家事业发展需要，坚持“四为”方针，以“立德树人、服务需求、提高质量、卓越育人”为主线开展各项工作，深化研究生教育教学综合改革，力争在培养拔尖人才、提高创新能力、服务社会发展等方面取得新突破。</w:t>
      </w:r>
    </w:p>
    <w:p w14:paraId="1EFD36C8">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进一步提升专业主课课程思政建设。采取“部系联动”“师生关联”的方式开展，研究生部进一步发挥指导、协调、服务和管理的职能作用。</w:t>
      </w:r>
    </w:p>
    <w:p w14:paraId="72B10F1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加快构建新版学科专业目录下的课程体系。以拔尖创新人才培养为目标，对标新版学科专业目录，完成培养方案、课程教学方案的修订和完善。</w:t>
      </w:r>
    </w:p>
    <w:p w14:paraId="552D932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3.持续加强导师管理与服务工作力度。</w:t>
      </w:r>
      <w:r>
        <w:rPr>
          <w:rFonts w:ascii="仿宋_GB2312" w:hAnsi="宋体" w:eastAsia="仿宋_GB2312" w:cs="宋体"/>
          <w:sz w:val="28"/>
          <w:szCs w:val="28"/>
        </w:rPr>
        <w:t>研究生导师是研究生培养的第一责任人</w:t>
      </w:r>
      <w:r>
        <w:rPr>
          <w:rFonts w:hint="eastAsia" w:ascii="仿宋_GB2312" w:hAnsi="宋体" w:eastAsia="仿宋_GB2312" w:cs="宋体"/>
          <w:sz w:val="28"/>
          <w:szCs w:val="28"/>
        </w:rPr>
        <w:t>，开展以“四有导师”培训工作为代表的导师培训工作，</w:t>
      </w:r>
      <w:r>
        <w:rPr>
          <w:rFonts w:ascii="仿宋_GB2312" w:hAnsi="宋体" w:eastAsia="仿宋_GB2312" w:cs="宋体"/>
          <w:sz w:val="28"/>
          <w:szCs w:val="28"/>
        </w:rPr>
        <w:t>充分发挥其在育人育才方面的关键作用,为建设具有中国特色的研究生教育强国提供坚强支持。</w:t>
      </w:r>
    </w:p>
    <w:p w14:paraId="64B92F05">
      <w:pPr>
        <w:spacing w:line="560" w:lineRule="exact"/>
        <w:ind w:firstLine="560" w:firstLineChars="200"/>
        <w:outlineLvl w:val="0"/>
        <w:rPr>
          <w:rFonts w:ascii="仿宋_GB2312" w:hAnsi="宋体" w:eastAsia="仿宋_GB2312"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94963">
    <w:pPr>
      <w:pStyle w:val="2"/>
      <w:widowControl/>
      <w:textAlignment w:val="baseline"/>
      <w:rPr>
        <w:rStyle w:val="7"/>
        <w:rFonts w:ascii="Times New Roman" w:hAnsi="Times New Roman"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AFA02">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AFAFA02">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60DC2"/>
    <w:multiLevelType w:val="singleLevel"/>
    <w:tmpl w:val="BE560DC2"/>
    <w:lvl w:ilvl="0" w:tentative="0">
      <w:start w:val="2"/>
      <w:numFmt w:val="chineseCounting"/>
      <w:suff w:val="nothing"/>
      <w:lvlText w:val="（%1）"/>
      <w:lvlJc w:val="left"/>
      <w:rPr>
        <w:rFonts w:hint="eastAsia"/>
      </w:rPr>
    </w:lvl>
  </w:abstractNum>
  <w:abstractNum w:abstractNumId="1">
    <w:nsid w:val="EC50FF09"/>
    <w:multiLevelType w:val="singleLevel"/>
    <w:tmpl w:val="EC50FF09"/>
    <w:lvl w:ilvl="0" w:tentative="0">
      <w:start w:val="3"/>
      <w:numFmt w:val="chineseCounting"/>
      <w:suff w:val="nothing"/>
      <w:lvlText w:val="%1、"/>
      <w:lvlJc w:val="left"/>
      <w:rPr>
        <w:rFonts w:hint="eastAsia"/>
      </w:rPr>
    </w:lvl>
  </w:abstractNum>
  <w:abstractNum w:abstractNumId="2">
    <w:nsid w:val="F6CE02F8"/>
    <w:multiLevelType w:val="singleLevel"/>
    <w:tmpl w:val="F6CE02F8"/>
    <w:lvl w:ilvl="0" w:tentative="0">
      <w:start w:val="2"/>
      <w:numFmt w:val="chineseCounting"/>
      <w:suff w:val="nothing"/>
      <w:lvlText w:val="（%1）"/>
      <w:lvlJc w:val="left"/>
      <w:rPr>
        <w:rFonts w:hint="eastAsia"/>
      </w:rPr>
    </w:lvl>
  </w:abstractNum>
  <w:abstractNum w:abstractNumId="3">
    <w:nsid w:val="5BFB4F10"/>
    <w:multiLevelType w:val="singleLevel"/>
    <w:tmpl w:val="5BFB4F1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jQ5ZTE0MTYyNThkNzJhYTFjZThiNjdlMDI5ZjEifQ=="/>
  </w:docVars>
  <w:rsids>
    <w:rsidRoot w:val="39F63CBD"/>
    <w:rsid w:val="0003470E"/>
    <w:rsid w:val="000474FA"/>
    <w:rsid w:val="002364ED"/>
    <w:rsid w:val="00285601"/>
    <w:rsid w:val="002E17CF"/>
    <w:rsid w:val="005037D4"/>
    <w:rsid w:val="005112AA"/>
    <w:rsid w:val="00680841"/>
    <w:rsid w:val="00693760"/>
    <w:rsid w:val="006C19F4"/>
    <w:rsid w:val="00704D97"/>
    <w:rsid w:val="007957CE"/>
    <w:rsid w:val="008109BE"/>
    <w:rsid w:val="00A97343"/>
    <w:rsid w:val="00B60B90"/>
    <w:rsid w:val="00BE311C"/>
    <w:rsid w:val="00C26D50"/>
    <w:rsid w:val="00C823D8"/>
    <w:rsid w:val="00F33CB1"/>
    <w:rsid w:val="00F52A4B"/>
    <w:rsid w:val="00FA445D"/>
    <w:rsid w:val="04657F2A"/>
    <w:rsid w:val="05A30D0A"/>
    <w:rsid w:val="0A23425D"/>
    <w:rsid w:val="0A7477C8"/>
    <w:rsid w:val="0BA47589"/>
    <w:rsid w:val="0D9B6D57"/>
    <w:rsid w:val="0FB75ADD"/>
    <w:rsid w:val="0FF3288D"/>
    <w:rsid w:val="10C4314E"/>
    <w:rsid w:val="12767ED2"/>
    <w:rsid w:val="150F4227"/>
    <w:rsid w:val="15BD1BCA"/>
    <w:rsid w:val="17CB5056"/>
    <w:rsid w:val="1B281F85"/>
    <w:rsid w:val="1B3E5103"/>
    <w:rsid w:val="1ECE2E43"/>
    <w:rsid w:val="216C6FA0"/>
    <w:rsid w:val="21A659B2"/>
    <w:rsid w:val="251343D2"/>
    <w:rsid w:val="268E067C"/>
    <w:rsid w:val="270C4509"/>
    <w:rsid w:val="281713B7"/>
    <w:rsid w:val="2B2F0488"/>
    <w:rsid w:val="2C6D5A4A"/>
    <w:rsid w:val="32EA0830"/>
    <w:rsid w:val="38CA7D80"/>
    <w:rsid w:val="390037A2"/>
    <w:rsid w:val="39F63CBD"/>
    <w:rsid w:val="3A0E2186"/>
    <w:rsid w:val="3A127C30"/>
    <w:rsid w:val="3EA42E21"/>
    <w:rsid w:val="3FF550FA"/>
    <w:rsid w:val="40F25CBF"/>
    <w:rsid w:val="426D634C"/>
    <w:rsid w:val="4D44414D"/>
    <w:rsid w:val="4D7A31B0"/>
    <w:rsid w:val="50254BB1"/>
    <w:rsid w:val="56840094"/>
    <w:rsid w:val="5FDE21DF"/>
    <w:rsid w:val="63B62ED2"/>
    <w:rsid w:val="63C00461"/>
    <w:rsid w:val="63D472DF"/>
    <w:rsid w:val="64A05CB5"/>
    <w:rsid w:val="64F76AF4"/>
    <w:rsid w:val="668C6082"/>
    <w:rsid w:val="6736645D"/>
    <w:rsid w:val="6B486AB5"/>
    <w:rsid w:val="6B4F3F91"/>
    <w:rsid w:val="6D064B23"/>
    <w:rsid w:val="6D4F64CA"/>
    <w:rsid w:val="6DB4632D"/>
    <w:rsid w:val="6F906926"/>
    <w:rsid w:val="703341CB"/>
    <w:rsid w:val="75BE65F1"/>
    <w:rsid w:val="77147E3D"/>
    <w:rsid w:val="77493BB3"/>
    <w:rsid w:val="7DAE3EFE"/>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autoRedefine/>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customStyle="1" w:styleId="6">
    <w:name w:val="页脚 字符"/>
    <w:basedOn w:val="5"/>
    <w:link w:val="2"/>
    <w:autoRedefine/>
    <w:qFormat/>
    <w:uiPriority w:val="0"/>
    <w:rPr>
      <w:rFonts w:asciiTheme="minorHAnsi" w:hAnsiTheme="minorHAnsi" w:eastAsiaTheme="minorEastAsia" w:cstheme="minorBidi"/>
      <w:kern w:val="2"/>
      <w:sz w:val="18"/>
      <w:szCs w:val="18"/>
    </w:rPr>
  </w:style>
  <w:style w:type="character" w:customStyle="1" w:styleId="7">
    <w:name w:val="NormalCharacter"/>
    <w:autoRedefine/>
    <w:semiHidden/>
    <w:qFormat/>
    <w:uiPriority w:val="0"/>
    <w:rPr>
      <w:rFonts w:eastAsia="方正仿宋简体" w:asciiTheme="minorHAnsi" w:hAnsiTheme="minorHAnsi" w:cstheme="minorBidi"/>
      <w:kern w:val="2"/>
      <w:sz w:val="32"/>
      <w:szCs w:val="24"/>
      <w:lang w:val="en-US" w:eastAsia="zh-CN" w:bidi="ar-SA"/>
    </w:rPr>
  </w:style>
  <w:style w:type="paragraph" w:customStyle="1" w:styleId="8">
    <w:name w:val="Heading3"/>
    <w:basedOn w:val="1"/>
    <w:next w:val="1"/>
    <w:autoRedefine/>
    <w:qFormat/>
    <w:uiPriority w:val="0"/>
    <w:pPr>
      <w:spacing w:line="600" w:lineRule="exact"/>
      <w:ind w:firstLine="640" w:firstLineChars="200"/>
      <w:textAlignment w:val="baseline"/>
    </w:pPr>
    <w:rPr>
      <w:rFonts w:ascii="黑体" w:hAnsi="黑体" w:eastAsia="黑体"/>
      <w:color w:val="000000"/>
      <w:sz w:val="32"/>
      <w:szCs w:val="32"/>
    </w:rPr>
  </w:style>
  <w:style w:type="paragraph" w:styleId="9">
    <w:name w:val="List Paragraph"/>
    <w:basedOn w:val="1"/>
    <w:autoRedefine/>
    <w:qFormat/>
    <w:uiPriority w:val="99"/>
    <w:pPr>
      <w:ind w:firstLine="420" w:firstLineChars="200"/>
    </w:pPr>
  </w:style>
  <w:style w:type="character" w:customStyle="1" w:styleId="10">
    <w:name w:val="font41"/>
    <w:basedOn w:val="5"/>
    <w:qFormat/>
    <w:uiPriority w:val="0"/>
    <w:rPr>
      <w:rFonts w:hint="default" w:ascii="Arial" w:hAnsi="Arial" w:cs="Arial"/>
      <w:color w:val="000000"/>
      <w:sz w:val="20"/>
      <w:szCs w:val="20"/>
      <w:u w:val="none"/>
    </w:rPr>
  </w:style>
  <w:style w:type="character" w:customStyle="1" w:styleId="11">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10</Pages>
  <Words>99</Words>
  <Characters>115</Characters>
  <Lines>43</Lines>
  <Paragraphs>12</Paragraphs>
  <TotalTime>23</TotalTime>
  <ScaleCrop>false</ScaleCrop>
  <LinksUpToDate>false</LinksUpToDate>
  <CharactersWithSpaces>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2022-07-05T02:29:00Z</dcterms:created>
  <dc:creator>刘倩倩</dc:creator>
  <cp:lastModifiedBy>嘉优</cp:lastModifiedBy>
  <dcterms:modified xsi:type="dcterms:W3CDTF">2024-11-12T01:55:50Z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9DE562F1D4B04D87A90DD2674451A6FC_13</vt:lpwstr>
  </property>
</Properties>
</file>