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EF412">
      <w:pPr>
        <w:spacing w:after="156" w:line="560" w:lineRule="exact"/>
        <w:textAlignment w:val="baseline"/>
        <w:rPr>
          <w:rStyle w:val="8"/>
          <w:rFonts w:ascii="方正小标宋简体" w:hAnsi="宋体" w:eastAsia="方正小标宋简体" w:cs="Times New Roman"/>
          <w:bCs/>
          <w:sz w:val="44"/>
          <w:szCs w:val="44"/>
        </w:rPr>
      </w:pPr>
      <w:bookmarkStart w:id="0" w:name="_GoBack"/>
      <w:bookmarkEnd w:id="0"/>
    </w:p>
    <w:p w14:paraId="7D773F8A">
      <w:pPr>
        <w:spacing w:after="156" w:line="560" w:lineRule="exact"/>
        <w:jc w:val="center"/>
        <w:textAlignment w:val="baseline"/>
        <w:rPr>
          <w:rStyle w:val="8"/>
          <w:rFonts w:ascii="方正小标宋简体" w:hAnsi="宋体" w:eastAsia="方正小标宋简体" w:cs="Times New Roman"/>
          <w:bCs/>
          <w:sz w:val="44"/>
          <w:szCs w:val="44"/>
        </w:rPr>
      </w:pPr>
    </w:p>
    <w:p w14:paraId="528F40A7">
      <w:pPr>
        <w:snapToGrid w:val="0"/>
        <w:spacing w:line="560" w:lineRule="exact"/>
        <w:jc w:val="center"/>
        <w:textAlignment w:val="baseline"/>
        <w:rPr>
          <w:rStyle w:val="8"/>
          <w:rFonts w:ascii="Times New Roman" w:hAnsi="Times New Roman" w:eastAsia="宋体"/>
          <w:b/>
          <w:spacing w:val="-10"/>
          <w:sz w:val="44"/>
          <w:szCs w:val="32"/>
        </w:rPr>
      </w:pPr>
      <w:r>
        <w:rPr>
          <w:rStyle w:val="8"/>
          <w:rFonts w:hint="eastAsia" w:ascii="Times New Roman" w:hAnsi="Times New Roman" w:eastAsia="宋体"/>
          <w:b/>
          <w:spacing w:val="-10"/>
          <w:sz w:val="44"/>
          <w:szCs w:val="32"/>
        </w:rPr>
        <w:t>艺术学理论学位授权点建设年度报告</w:t>
      </w:r>
    </w:p>
    <w:p w14:paraId="1BAB88A3">
      <w:pPr>
        <w:snapToGrid w:val="0"/>
        <w:spacing w:line="560" w:lineRule="exact"/>
        <w:jc w:val="center"/>
        <w:textAlignment w:val="baseline"/>
        <w:rPr>
          <w:rStyle w:val="8"/>
          <w:rFonts w:ascii="Times New Roman" w:hAnsi="Times New Roman" w:eastAsia="宋体"/>
          <w:b/>
          <w:spacing w:val="-10"/>
          <w:sz w:val="44"/>
          <w:szCs w:val="32"/>
        </w:rPr>
      </w:pPr>
      <w:r>
        <w:rPr>
          <w:rStyle w:val="8"/>
          <w:rFonts w:hint="eastAsia" w:ascii="Times New Roman" w:hAnsi="Times New Roman" w:eastAsia="宋体"/>
          <w:b/>
          <w:spacing w:val="-10"/>
          <w:sz w:val="44"/>
          <w:szCs w:val="32"/>
        </w:rPr>
        <w:t>（2</w:t>
      </w:r>
      <w:r>
        <w:rPr>
          <w:rStyle w:val="8"/>
          <w:rFonts w:ascii="Times New Roman" w:hAnsi="Times New Roman" w:eastAsia="宋体"/>
          <w:b/>
          <w:spacing w:val="-10"/>
          <w:sz w:val="44"/>
          <w:szCs w:val="32"/>
        </w:rPr>
        <w:t>02</w:t>
      </w:r>
      <w:r>
        <w:rPr>
          <w:rStyle w:val="8"/>
          <w:rFonts w:hint="eastAsia" w:ascii="Times New Roman" w:hAnsi="Times New Roman" w:eastAsia="宋体"/>
          <w:b/>
          <w:spacing w:val="-10"/>
          <w:sz w:val="44"/>
          <w:szCs w:val="32"/>
        </w:rPr>
        <w:t>3年）</w:t>
      </w:r>
    </w:p>
    <w:p w14:paraId="7E3FAE9D">
      <w:pPr>
        <w:spacing w:after="156" w:line="560" w:lineRule="exact"/>
        <w:jc w:val="center"/>
        <w:textAlignment w:val="baseline"/>
        <w:rPr>
          <w:rStyle w:val="8"/>
          <w:rFonts w:ascii="方正小标宋简体" w:hAnsi="宋体" w:eastAsia="方正小标宋简体" w:cs="Times New Roman"/>
          <w:bCs/>
          <w:sz w:val="44"/>
          <w:szCs w:val="44"/>
        </w:rPr>
      </w:pPr>
    </w:p>
    <w:p w14:paraId="36B31275">
      <w:pPr>
        <w:snapToGrid w:val="0"/>
        <w:spacing w:line="560" w:lineRule="exact"/>
        <w:textAlignment w:val="baseline"/>
        <w:rPr>
          <w:rStyle w:val="8"/>
          <w:rFonts w:ascii="Times New Roman" w:hAnsi="Times New Roman" w:eastAsia="宋体"/>
          <w:b/>
          <w:sz w:val="48"/>
          <w:szCs w:val="20"/>
        </w:rPr>
      </w:pPr>
    </w:p>
    <w:p w14:paraId="03F13730">
      <w:pPr>
        <w:snapToGrid w:val="0"/>
        <w:spacing w:line="560" w:lineRule="exact"/>
        <w:jc w:val="center"/>
        <w:textAlignment w:val="baseline"/>
        <w:rPr>
          <w:rStyle w:val="8"/>
          <w:rFonts w:ascii="Times New Roman" w:hAnsi="Times New Roman" w:eastAsia="宋体"/>
          <w:b/>
          <w:szCs w:val="32"/>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5E98BA6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2568EC76">
            <w:pPr>
              <w:snapToGrid w:val="0"/>
              <w:spacing w:line="560" w:lineRule="exact"/>
              <w:jc w:val="center"/>
              <w:textAlignment w:val="baseline"/>
              <w:rPr>
                <w:rStyle w:val="8"/>
                <w:rFonts w:ascii="Times New Roman" w:hAnsi="Times New Roman" w:eastAsia="宋体"/>
                <w:b/>
                <w:spacing w:val="-10"/>
                <w:szCs w:val="32"/>
              </w:rPr>
            </w:pPr>
            <w:r>
              <w:rPr>
                <w:rStyle w:val="8"/>
                <w:rFonts w:hint="eastAsia" w:ascii="Times New Roman" w:hAnsi="Times New Roman" w:eastAsia="宋体"/>
                <w:b/>
                <w:spacing w:val="-10"/>
                <w:szCs w:val="32"/>
              </w:rPr>
              <w:t>学科授予单位</w:t>
            </w:r>
          </w:p>
        </w:tc>
        <w:tc>
          <w:tcPr>
            <w:tcW w:w="3977" w:type="dxa"/>
            <w:tcBorders>
              <w:top w:val="nil"/>
              <w:left w:val="single" w:color="000000" w:sz="4" w:space="0"/>
              <w:bottom w:val="single" w:color="000000" w:sz="4" w:space="0"/>
              <w:right w:val="nil"/>
            </w:tcBorders>
            <w:vAlign w:val="center"/>
          </w:tcPr>
          <w:p w14:paraId="389CF4C9">
            <w:pPr>
              <w:snapToGrid w:val="0"/>
              <w:spacing w:line="560" w:lineRule="exact"/>
              <w:textAlignment w:val="baseline"/>
              <w:rPr>
                <w:rStyle w:val="8"/>
                <w:rFonts w:ascii="Times New Roman" w:hAnsi="Times New Roman" w:eastAsia="宋体"/>
                <w:b/>
                <w:spacing w:val="-10"/>
                <w:szCs w:val="32"/>
              </w:rPr>
            </w:pPr>
            <w:r>
              <w:rPr>
                <w:rStyle w:val="8"/>
                <w:rFonts w:hint="eastAsia" w:ascii="Times New Roman" w:hAnsi="Times New Roman" w:eastAsia="宋体"/>
                <w:b/>
                <w:spacing w:val="-10"/>
                <w:szCs w:val="32"/>
              </w:rPr>
              <w:t>全称</w:t>
            </w:r>
            <w:r>
              <w:rPr>
                <w:rStyle w:val="8"/>
                <w:rFonts w:ascii="Times New Roman" w:hAnsi="Times New Roman" w:eastAsia="宋体"/>
                <w:b/>
                <w:spacing w:val="-10"/>
                <w:szCs w:val="32"/>
              </w:rPr>
              <w:t>：</w:t>
            </w:r>
            <w:r>
              <w:rPr>
                <w:rStyle w:val="8"/>
                <w:rFonts w:hint="eastAsia" w:ascii="Times New Roman" w:hAnsi="Times New Roman" w:eastAsia="宋体"/>
                <w:b/>
                <w:spacing w:val="-10"/>
                <w:szCs w:val="32"/>
              </w:rPr>
              <w:t>上海音乐学院</w:t>
            </w:r>
          </w:p>
        </w:tc>
      </w:tr>
      <w:tr w14:paraId="1E7CCFF7">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1116789D">
            <w:pPr>
              <w:snapToGrid w:val="0"/>
              <w:spacing w:line="560" w:lineRule="exact"/>
              <w:jc w:val="center"/>
              <w:textAlignment w:val="baseline"/>
              <w:rPr>
                <w:rStyle w:val="8"/>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5F22408F">
            <w:pPr>
              <w:snapToGrid w:val="0"/>
              <w:spacing w:line="560" w:lineRule="exact"/>
              <w:textAlignment w:val="baseline"/>
              <w:rPr>
                <w:rStyle w:val="8"/>
                <w:rFonts w:ascii="Times New Roman" w:hAnsi="Times New Roman" w:eastAsia="宋体"/>
                <w:b/>
                <w:spacing w:val="-10"/>
                <w:szCs w:val="32"/>
              </w:rPr>
            </w:pPr>
            <w:r>
              <w:rPr>
                <w:rStyle w:val="8"/>
                <w:rFonts w:ascii="Times New Roman" w:hAnsi="Times New Roman" w:eastAsia="宋体"/>
                <w:b/>
                <w:spacing w:val="-10"/>
                <w:szCs w:val="32"/>
              </w:rPr>
              <w:t>代码：</w:t>
            </w:r>
            <w:r>
              <w:rPr>
                <w:rStyle w:val="8"/>
                <w:rFonts w:hint="eastAsia" w:ascii="Times New Roman" w:hAnsi="Times New Roman" w:eastAsia="宋体"/>
                <w:b/>
                <w:spacing w:val="-10"/>
                <w:szCs w:val="32"/>
              </w:rPr>
              <w:t>1</w:t>
            </w:r>
            <w:r>
              <w:rPr>
                <w:rStyle w:val="8"/>
                <w:rFonts w:ascii="Times New Roman" w:hAnsi="Times New Roman" w:eastAsia="宋体"/>
                <w:b/>
                <w:spacing w:val="-10"/>
                <w:szCs w:val="32"/>
              </w:rPr>
              <w:t>0278</w:t>
            </w:r>
          </w:p>
        </w:tc>
      </w:tr>
    </w:tbl>
    <w:p w14:paraId="5F232400">
      <w:pPr>
        <w:snapToGrid w:val="0"/>
        <w:spacing w:line="560" w:lineRule="exact"/>
        <w:jc w:val="center"/>
        <w:textAlignment w:val="baseline"/>
        <w:rPr>
          <w:rStyle w:val="8"/>
          <w:rFonts w:ascii="Times New Roman" w:hAnsi="Times New Roman" w:eastAsia="宋体"/>
          <w:b/>
          <w:sz w:val="48"/>
          <w:szCs w:val="2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17F20F46">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3132A113">
            <w:pPr>
              <w:snapToGrid w:val="0"/>
              <w:spacing w:line="560" w:lineRule="exact"/>
              <w:jc w:val="center"/>
              <w:textAlignment w:val="baseline"/>
              <w:rPr>
                <w:rStyle w:val="8"/>
                <w:rFonts w:ascii="Times New Roman" w:hAnsi="Times New Roman" w:eastAsia="宋体"/>
                <w:b/>
                <w:spacing w:val="-10"/>
                <w:szCs w:val="32"/>
              </w:rPr>
            </w:pPr>
            <w:r>
              <w:rPr>
                <w:rStyle w:val="8"/>
                <w:rFonts w:hint="eastAsia" w:ascii="Times New Roman" w:hAnsi="Times New Roman" w:eastAsia="宋体"/>
                <w:b/>
                <w:spacing w:val="-10"/>
                <w:szCs w:val="32"/>
              </w:rPr>
              <w:t>授权学科</w:t>
            </w:r>
          </w:p>
        </w:tc>
        <w:tc>
          <w:tcPr>
            <w:tcW w:w="3977" w:type="dxa"/>
            <w:tcBorders>
              <w:top w:val="nil"/>
              <w:left w:val="single" w:color="000000" w:sz="4" w:space="0"/>
              <w:bottom w:val="single" w:color="000000" w:sz="4" w:space="0"/>
              <w:right w:val="nil"/>
            </w:tcBorders>
            <w:vAlign w:val="center"/>
          </w:tcPr>
          <w:p w14:paraId="41C0B2FB">
            <w:pPr>
              <w:snapToGrid w:val="0"/>
              <w:spacing w:line="560" w:lineRule="exact"/>
              <w:textAlignment w:val="baseline"/>
              <w:rPr>
                <w:rStyle w:val="8"/>
                <w:rFonts w:ascii="Times New Roman" w:hAnsi="Times New Roman" w:eastAsia="宋体"/>
                <w:b/>
                <w:spacing w:val="-10"/>
                <w:szCs w:val="32"/>
              </w:rPr>
            </w:pPr>
            <w:r>
              <w:rPr>
                <w:rStyle w:val="8"/>
                <w:rFonts w:ascii="Times New Roman" w:hAnsi="Times New Roman" w:eastAsia="宋体"/>
                <w:b/>
                <w:spacing w:val="-10"/>
                <w:szCs w:val="32"/>
              </w:rPr>
              <w:t>名称：</w:t>
            </w:r>
            <w:r>
              <w:rPr>
                <w:rStyle w:val="8"/>
                <w:rFonts w:hint="eastAsia" w:ascii="Times New Roman" w:hAnsi="Times New Roman" w:eastAsia="宋体"/>
                <w:b/>
                <w:spacing w:val="-10"/>
                <w:szCs w:val="32"/>
              </w:rPr>
              <w:t>艺术学理论</w:t>
            </w:r>
          </w:p>
        </w:tc>
      </w:tr>
      <w:tr w14:paraId="492AEE8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17A2C654">
            <w:pPr>
              <w:snapToGrid w:val="0"/>
              <w:spacing w:line="560" w:lineRule="exact"/>
              <w:jc w:val="center"/>
              <w:textAlignment w:val="baseline"/>
              <w:rPr>
                <w:rStyle w:val="8"/>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2E47E9B2">
            <w:pPr>
              <w:snapToGrid w:val="0"/>
              <w:spacing w:line="560" w:lineRule="exact"/>
              <w:textAlignment w:val="baseline"/>
              <w:rPr>
                <w:rStyle w:val="8"/>
                <w:rFonts w:ascii="Times New Roman" w:hAnsi="Times New Roman" w:eastAsia="宋体"/>
                <w:b/>
                <w:spacing w:val="-10"/>
                <w:szCs w:val="32"/>
              </w:rPr>
            </w:pPr>
            <w:r>
              <w:rPr>
                <w:rStyle w:val="8"/>
                <w:rFonts w:ascii="Times New Roman" w:hAnsi="Times New Roman" w:eastAsia="宋体"/>
                <w:b/>
                <w:spacing w:val="-10"/>
                <w:szCs w:val="32"/>
              </w:rPr>
              <w:t>代码：1301</w:t>
            </w:r>
          </w:p>
        </w:tc>
      </w:tr>
    </w:tbl>
    <w:p w14:paraId="67B51F90">
      <w:pPr>
        <w:spacing w:line="560" w:lineRule="exact"/>
        <w:jc w:val="center"/>
        <w:textAlignment w:val="baseline"/>
        <w:rPr>
          <w:rStyle w:val="8"/>
          <w:rFonts w:ascii="Times New Roman" w:hAnsi="Times New Roman" w:eastAsia="楷体_GB2312"/>
          <w:b/>
          <w:sz w:val="30"/>
          <w:szCs w:val="30"/>
        </w:rPr>
      </w:pPr>
    </w:p>
    <w:tbl>
      <w:tblPr>
        <w:tblStyle w:val="4"/>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7DC5CC22">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14:paraId="6ABF57D9">
            <w:pPr>
              <w:snapToGrid w:val="0"/>
              <w:spacing w:line="560" w:lineRule="exact"/>
              <w:jc w:val="center"/>
              <w:textAlignment w:val="baseline"/>
              <w:rPr>
                <w:rStyle w:val="8"/>
                <w:rFonts w:ascii="Times New Roman" w:hAnsi="Times New Roman" w:eastAsia="宋体"/>
                <w:b/>
                <w:spacing w:val="-10"/>
                <w:szCs w:val="32"/>
              </w:rPr>
            </w:pPr>
            <w:r>
              <w:rPr>
                <w:rStyle w:val="8"/>
                <w:rFonts w:hint="eastAsia" w:ascii="Times New Roman" w:hAnsi="Times New Roman" w:eastAsia="宋体"/>
                <w:b/>
                <w:spacing w:val="-10"/>
                <w:szCs w:val="32"/>
              </w:rPr>
              <w:t>授权级别</w:t>
            </w:r>
          </w:p>
        </w:tc>
        <w:tc>
          <w:tcPr>
            <w:tcW w:w="3977" w:type="dxa"/>
            <w:tcBorders>
              <w:top w:val="nil"/>
              <w:left w:val="single" w:color="000000" w:sz="4" w:space="0"/>
              <w:bottom w:val="single" w:color="000000" w:sz="4" w:space="0"/>
              <w:right w:val="nil"/>
            </w:tcBorders>
            <w:vAlign w:val="center"/>
          </w:tcPr>
          <w:p w14:paraId="3A6F3B60">
            <w:pPr>
              <w:snapToGrid w:val="0"/>
              <w:spacing w:line="560" w:lineRule="exact"/>
              <w:textAlignment w:val="baseline"/>
              <w:rPr>
                <w:rStyle w:val="8"/>
                <w:rFonts w:ascii="Times New Roman" w:hAnsi="Times New Roman" w:eastAsia="宋体"/>
                <w:b/>
                <w:spacing w:val="-10"/>
                <w:szCs w:val="32"/>
              </w:rPr>
            </w:pPr>
            <w:r>
              <w:rPr>
                <w:rStyle w:val="8"/>
                <w:rFonts w:ascii="Segoe UI Symbol" w:hAnsi="Segoe UI Symbol" w:eastAsia="宋体" w:cs="Segoe UI Symbol"/>
                <w:b/>
                <w:spacing w:val="-10"/>
                <w:szCs w:val="32"/>
              </w:rPr>
              <w:t>☑</w:t>
            </w:r>
            <w:r>
              <w:rPr>
                <w:rStyle w:val="8"/>
                <w:rFonts w:ascii="Times New Roman" w:hAnsi="Times New Roman" w:eastAsia="宋体"/>
                <w:b/>
                <w:spacing w:val="-10"/>
                <w:szCs w:val="32"/>
              </w:rPr>
              <w:t xml:space="preserve"> </w:t>
            </w:r>
            <w:r>
              <w:rPr>
                <w:rStyle w:val="8"/>
                <w:rFonts w:hint="eastAsia" w:ascii="Times New Roman" w:hAnsi="Times New Roman" w:eastAsia="宋体"/>
                <w:b/>
                <w:spacing w:val="-10"/>
                <w:szCs w:val="32"/>
              </w:rPr>
              <w:t xml:space="preserve">博 </w:t>
            </w:r>
            <w:r>
              <w:rPr>
                <w:rStyle w:val="8"/>
                <w:rFonts w:ascii="Times New Roman" w:hAnsi="Times New Roman" w:eastAsia="宋体"/>
                <w:b/>
                <w:spacing w:val="-10"/>
                <w:szCs w:val="32"/>
              </w:rPr>
              <w:t xml:space="preserve"> </w:t>
            </w:r>
            <w:r>
              <w:rPr>
                <w:rStyle w:val="8"/>
                <w:rFonts w:hint="eastAsia" w:ascii="Times New Roman" w:hAnsi="Times New Roman" w:eastAsia="宋体"/>
                <w:b/>
                <w:spacing w:val="-10"/>
                <w:szCs w:val="32"/>
              </w:rPr>
              <w:t>士</w:t>
            </w:r>
          </w:p>
        </w:tc>
      </w:tr>
      <w:tr w14:paraId="332C1E2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14:paraId="1EF2D961">
            <w:pPr>
              <w:snapToGrid w:val="0"/>
              <w:spacing w:line="560" w:lineRule="exact"/>
              <w:jc w:val="center"/>
              <w:textAlignment w:val="baseline"/>
              <w:rPr>
                <w:rStyle w:val="8"/>
                <w:rFonts w:ascii="Times New Roman" w:hAnsi="Times New Roman" w:eastAsia="宋体"/>
                <w:b/>
                <w:spacing w:val="-10"/>
                <w:szCs w:val="32"/>
              </w:rPr>
            </w:pPr>
          </w:p>
        </w:tc>
        <w:tc>
          <w:tcPr>
            <w:tcW w:w="3977" w:type="dxa"/>
            <w:tcBorders>
              <w:top w:val="single" w:color="000000" w:sz="4" w:space="0"/>
              <w:left w:val="single" w:color="000000" w:sz="4" w:space="0"/>
              <w:bottom w:val="nil"/>
              <w:right w:val="nil"/>
            </w:tcBorders>
            <w:vAlign w:val="center"/>
          </w:tcPr>
          <w:p w14:paraId="6093FA4A">
            <w:pPr>
              <w:snapToGrid w:val="0"/>
              <w:spacing w:line="560" w:lineRule="exact"/>
              <w:textAlignment w:val="baseline"/>
              <w:rPr>
                <w:rStyle w:val="8"/>
                <w:rFonts w:ascii="Times New Roman" w:hAnsi="Times New Roman" w:eastAsia="宋体"/>
                <w:b/>
                <w:spacing w:val="-10"/>
                <w:szCs w:val="32"/>
              </w:rPr>
            </w:pPr>
            <w:r>
              <w:rPr>
                <w:rStyle w:val="8"/>
                <w:rFonts w:ascii="Segoe UI Symbol" w:hAnsi="Segoe UI Symbol" w:eastAsia="宋体" w:cs="Segoe UI Symbol"/>
                <w:b/>
                <w:spacing w:val="-10"/>
                <w:szCs w:val="32"/>
              </w:rPr>
              <w:t>☑</w:t>
            </w:r>
            <w:r>
              <w:rPr>
                <w:rStyle w:val="8"/>
                <w:rFonts w:ascii="Times New Roman" w:hAnsi="Times New Roman" w:eastAsia="宋体"/>
                <w:b/>
                <w:spacing w:val="-10"/>
                <w:szCs w:val="32"/>
              </w:rPr>
              <w:t xml:space="preserve"> </w:t>
            </w:r>
            <w:r>
              <w:rPr>
                <w:rStyle w:val="8"/>
                <w:rFonts w:hint="eastAsia" w:ascii="Times New Roman" w:hAnsi="Times New Roman" w:eastAsia="宋体"/>
                <w:b/>
                <w:spacing w:val="-10"/>
                <w:szCs w:val="32"/>
              </w:rPr>
              <w:t xml:space="preserve">硕 </w:t>
            </w:r>
            <w:r>
              <w:rPr>
                <w:rStyle w:val="8"/>
                <w:rFonts w:ascii="Times New Roman" w:hAnsi="Times New Roman" w:eastAsia="宋体"/>
                <w:b/>
                <w:spacing w:val="-10"/>
                <w:szCs w:val="32"/>
              </w:rPr>
              <w:t xml:space="preserve"> </w:t>
            </w:r>
            <w:r>
              <w:rPr>
                <w:rStyle w:val="8"/>
                <w:rFonts w:hint="eastAsia" w:ascii="Times New Roman" w:hAnsi="Times New Roman" w:eastAsia="宋体"/>
                <w:b/>
                <w:spacing w:val="-10"/>
                <w:szCs w:val="32"/>
              </w:rPr>
              <w:t>士</w:t>
            </w:r>
          </w:p>
        </w:tc>
      </w:tr>
    </w:tbl>
    <w:p w14:paraId="2DCFBBE3">
      <w:pPr>
        <w:pStyle w:val="9"/>
        <w:widowControl/>
        <w:spacing w:line="560" w:lineRule="exact"/>
        <w:rPr>
          <w:rStyle w:val="8"/>
          <w:color w:val="auto"/>
        </w:rPr>
      </w:pPr>
    </w:p>
    <w:p w14:paraId="3214BD0D">
      <w:pPr>
        <w:spacing w:line="560" w:lineRule="exact"/>
      </w:pPr>
    </w:p>
    <w:p w14:paraId="532FDB29">
      <w:pPr>
        <w:spacing w:line="560" w:lineRule="exact"/>
        <w:jc w:val="center"/>
        <w:textAlignment w:val="baseline"/>
        <w:rPr>
          <w:rStyle w:val="8"/>
          <w:rFonts w:ascii="Times New Roman" w:hAnsi="Times New Roman" w:eastAsia="楷体_GB2312"/>
          <w:b/>
          <w:sz w:val="30"/>
          <w:szCs w:val="30"/>
        </w:rPr>
      </w:pPr>
    </w:p>
    <w:p w14:paraId="67175A27">
      <w:pPr>
        <w:spacing w:line="560" w:lineRule="exact"/>
        <w:jc w:val="center"/>
        <w:textAlignment w:val="baseline"/>
        <w:rPr>
          <w:rStyle w:val="8"/>
          <w:rFonts w:ascii="黑体" w:hAnsi="黑体" w:eastAsia="黑体"/>
          <w:szCs w:val="32"/>
        </w:rPr>
        <w:sectPr>
          <w:footerReference r:id="rId3" w:type="default"/>
          <w:pgSz w:w="11906" w:h="16838"/>
          <w:pgMar w:top="1440" w:right="1800" w:bottom="1440" w:left="1800" w:header="851" w:footer="992" w:gutter="0"/>
          <w:pgNumType w:start="0"/>
          <w:cols w:space="425" w:num="1"/>
          <w:titlePg/>
          <w:docGrid w:type="lines" w:linePitch="312" w:charSpace="0"/>
        </w:sectPr>
      </w:pPr>
      <w:r>
        <w:rPr>
          <w:rStyle w:val="8"/>
          <w:rFonts w:ascii="Times New Roman" w:hAnsi="Times New Roman" w:eastAsia="楷体_GB2312"/>
          <w:b/>
          <w:szCs w:val="32"/>
        </w:rPr>
        <w:t>202</w:t>
      </w:r>
      <w:r>
        <w:rPr>
          <w:rStyle w:val="8"/>
          <w:rFonts w:hint="eastAsia" w:ascii="Times New Roman" w:hAnsi="Times New Roman" w:eastAsia="楷体_GB2312"/>
          <w:b/>
          <w:szCs w:val="32"/>
        </w:rPr>
        <w:t>4</w:t>
      </w:r>
      <w:r>
        <w:rPr>
          <w:rStyle w:val="8"/>
          <w:rFonts w:ascii="Times New Roman" w:hAnsi="Times New Roman" w:eastAsia="楷体_GB2312"/>
          <w:b/>
          <w:szCs w:val="32"/>
        </w:rPr>
        <w:t>年</w:t>
      </w:r>
      <w:r>
        <w:rPr>
          <w:rStyle w:val="8"/>
          <w:rFonts w:hint="eastAsia" w:ascii="Times New Roman" w:hAnsi="Times New Roman" w:eastAsia="楷体_GB2312"/>
          <w:b/>
          <w:szCs w:val="32"/>
        </w:rPr>
        <w:t>5</w:t>
      </w:r>
      <w:r>
        <w:rPr>
          <w:rStyle w:val="8"/>
          <w:rFonts w:ascii="Times New Roman" w:hAnsi="Times New Roman" w:eastAsia="楷体_GB2312"/>
          <w:b/>
          <w:szCs w:val="32"/>
        </w:rPr>
        <w:t>月30日</w:t>
      </w:r>
    </w:p>
    <w:p w14:paraId="1152E407">
      <w:pPr>
        <w:spacing w:line="460" w:lineRule="exact"/>
        <w:jc w:val="center"/>
        <w:rPr>
          <w:rFonts w:ascii="华文中宋" w:hAnsi="华文中宋" w:eastAsia="华文中宋" w:cs="宋体"/>
          <w:b/>
          <w:bCs/>
          <w:sz w:val="36"/>
          <w:szCs w:val="28"/>
        </w:rPr>
      </w:pPr>
      <w:r>
        <w:rPr>
          <w:rFonts w:hint="eastAsia" w:ascii="华文中宋" w:hAnsi="华文中宋" w:eastAsia="华文中宋" w:cs="宋体"/>
          <w:b/>
          <w:bCs/>
          <w:sz w:val="36"/>
          <w:szCs w:val="28"/>
        </w:rPr>
        <w:t>上海音乐学院艺术学理论学位授权点建设年度报告</w:t>
      </w:r>
    </w:p>
    <w:p w14:paraId="03F739B3">
      <w:pPr>
        <w:spacing w:line="460" w:lineRule="exact"/>
        <w:jc w:val="center"/>
        <w:rPr>
          <w:rFonts w:ascii="华文中宋" w:hAnsi="华文中宋" w:eastAsia="华文中宋" w:cs="宋体"/>
          <w:b/>
          <w:bCs/>
          <w:sz w:val="36"/>
          <w:szCs w:val="28"/>
        </w:rPr>
      </w:pPr>
      <w:r>
        <w:rPr>
          <w:rFonts w:hint="eastAsia" w:ascii="华文中宋" w:hAnsi="华文中宋" w:eastAsia="华文中宋" w:cs="宋体"/>
          <w:b/>
          <w:bCs/>
          <w:sz w:val="36"/>
          <w:szCs w:val="28"/>
        </w:rPr>
        <w:t>（2023）</w:t>
      </w:r>
    </w:p>
    <w:p w14:paraId="0FB8140F">
      <w:pPr>
        <w:spacing w:line="560" w:lineRule="exact"/>
        <w:rPr>
          <w:rFonts w:ascii="仿宋_GB2312" w:hAnsi="宋体" w:eastAsia="仿宋_GB2312" w:cs="宋体"/>
          <w:b/>
          <w:bCs/>
          <w:sz w:val="28"/>
          <w:szCs w:val="28"/>
        </w:rPr>
      </w:pPr>
    </w:p>
    <w:p w14:paraId="2D3BB6CE">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一、学位点基本概况</w:t>
      </w:r>
    </w:p>
    <w:p w14:paraId="676A18A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上海音乐学院艺术学理论学科以立足于前沿理论的音乐美学、音乐人类学为学术研究主体，以世界音乐研究、音乐批评、音乐审美心理学与音乐教育学为理论与应用、理论与实践相结合的专业整合起来的学科专业群落。本学科正在以创建国际一流水准的艺术学理论学科为目标，一方面通过全面推进扎实的学术研究与不断完善合理的学术资源结构配置来提升学科自身的学术内涵与综合实力，一方面通过积极参与各类学术研讨交流活动来扩大本学科在国际国内学术界的影响力。</w:t>
      </w:r>
    </w:p>
    <w:p w14:paraId="1DEDA89A">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上海音乐学院作为我国第一所高等专业音乐教育机构，在音乐美学、音乐人类学与社会学、音乐史学等音乐学和其他人文社会科学的交叉学术领域都处于国内一流、国际知名的优势地位。本学科相关专业领域的学科带头人均为具有国际影响力的国内顶尖专家学者。多年来，他们在理论研究与实践、教育方面的努力工作为学科建设与发展作出杰出贡献，并培养了一大批活跃于国内专业音乐院校和社会音乐生活中的中坚力量。再次，本学科的又一大特色还体现在学科之间的交叉互动发展与跨学科协同作业方面。无论在基础理论还是应用理论、教育理论还是教学实践，都相互协调配合，形成常态化交互式的良性循环发展，在学科自身的建设以及在引领国内学界领先学术地位与社会音乐生活上，都具有显著的优势与特色。</w:t>
      </w:r>
    </w:p>
    <w:p w14:paraId="28F5140F">
      <w:pPr>
        <w:spacing w:line="560" w:lineRule="exact"/>
        <w:ind w:firstLine="560" w:firstLineChars="200"/>
        <w:rPr>
          <w:rFonts w:ascii="仿宋_GB2312" w:hAnsi="宋体" w:eastAsia="仿宋_GB2312" w:cs="宋体"/>
          <w:sz w:val="28"/>
          <w:szCs w:val="28"/>
        </w:rPr>
      </w:pPr>
    </w:p>
    <w:p w14:paraId="1E4188CE">
      <w:pPr>
        <w:spacing w:line="560" w:lineRule="exact"/>
        <w:ind w:firstLine="560" w:firstLineChars="200"/>
        <w:rPr>
          <w:rFonts w:ascii="仿宋_GB2312" w:hAnsi="宋体" w:eastAsia="仿宋_GB2312" w:cs="宋体"/>
          <w:sz w:val="28"/>
          <w:szCs w:val="28"/>
        </w:rPr>
      </w:pPr>
    </w:p>
    <w:p w14:paraId="07027943">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（一）学科方向及特色</w:t>
      </w:r>
    </w:p>
    <w:p w14:paraId="6563BAB5">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1.艺术哲学与批评</w:t>
      </w:r>
    </w:p>
    <w:p w14:paraId="2BFC39D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哲学与批评主要包括音乐哲学、音乐美学、艺术学相关理论及音乐批评等研究方向。本领域基于音乐学理论研究，切入艺术学、美学与哲学等相关人文学科论域，具有较强的理论基础性与音乐专业性。音乐美学研究坚持感性学的美学起点，兼顾古今中外理论的平衡，强调博古论今与中外融通，同时观照学术尖端与前沿理论对未来学科发展的应用意义。当代音乐研究作为全国首个相关领域博士学位点，以中国当代音乐创作及其理论问题为主要对象，依托现代哲学美学理论对当代音乐相关问题作出批判性学理探索研究。</w:t>
      </w:r>
    </w:p>
    <w:p w14:paraId="3F759A42">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2.艺术人类学与社会学</w:t>
      </w:r>
    </w:p>
    <w:p w14:paraId="5FB7353E">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人类学与社会学是音乐学、人类学与社会学相结合的交叉性学科领域，其具有传统意义上的音乐学以探究音乐本体为主导的属性，同时又具有人类学和社会学视角下关注与音乐相关的社会和文化关系研究的人文特征。本领域的音乐人类学方向的两个研究基地“音乐人类学E-研究院”“中国仪式音乐研究中心”不仅在国内学界成为一面旗帜，例如“音乐上海学”“生态音乐学”及其成果，而且在国际上具有积极影响。同时，将音乐田野工作拓展至“流行音乐”研究之中，而且提倡“新史学”方法，将音乐史学、音乐人类学与社会学融为一体，将此研究范式运用于中国古代丝路与周边民族音乐文化关系的探讨，取得了令人瞩目的成绩，成为国内东方音乐研究的重要基地。</w:t>
      </w:r>
    </w:p>
    <w:p w14:paraId="66133094">
      <w:p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3.艺术教育理论</w:t>
      </w:r>
    </w:p>
    <w:p w14:paraId="67A21F1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教育理论下设博士方向一个：音乐教育学理论。硕士方向三个：音乐教育史学与比较、音乐教育课程与方法及音乐教育心理学。团队汇聚国内外著名学科专家、学者，在学科带头人余丹红教授引领下，承担教育部基础教育学业质量监测、课程标准编制、各学段音乐学科国家教材编制等国家教育部及省市级教育与教学研究重点项目；广泛研究音乐与音乐教育学科理论与教育实践，为全国音乐教育学科实践及理论研究培养多层次专业人才；研究音乐教育学科理论，建成国内一流基础教育领域音乐学科高地；在国内外享有良好的专业影响力与学术口碑，在过往的科研与实践中建立了骄人的业绩；并对世界同业产生影响，成为国际同行研究中国音乐教育的窗口。</w:t>
      </w:r>
    </w:p>
    <w:p w14:paraId="3C57781E">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培养目标</w:t>
      </w:r>
    </w:p>
    <w:p w14:paraId="30DB6E4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艺术学理论专业旨在全面培养适应国家的人文学科发展需要的、国内顶级水平并具有音乐学学术特色的艺术学理论高端专业人才，为国家培养和输送该领域具有引领作用的专门性人才。在此培养过程中，充分汲取国内外优质学科资源，秉承既要学术拔尖又要因材施教两相兼顾的理念，深入钻研学科深层次问题，又要尽可能满足当下现实诉求，执艰深理论与普适学养两端，结合学生个人素质与需求，实施有效的专业教学与职业训练。</w:t>
      </w:r>
    </w:p>
    <w:p w14:paraId="2B320C30">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培养掌握坚实宽广的艺术学基础理论、系统深入的专门知识，把握学科前沿，具有从事高水平艺术学理论研究的能力，做出创造性成果的领军人才、学科带头人。</w:t>
      </w:r>
    </w:p>
    <w:p w14:paraId="678053C8">
      <w:pPr>
        <w:numPr>
          <w:ilvl w:val="0"/>
          <w:numId w:val="1"/>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师资队伍</w:t>
      </w:r>
    </w:p>
    <w:p w14:paraId="1163AFB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本学科共有专任教师26名，其中正高级职称20名，副高级职称6人；最高学位博士16人，硕士6人；博士生导师15人，硕士生导师20人。</w:t>
      </w:r>
    </w:p>
    <w:p w14:paraId="1BCD6D8C">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二、党建与思想政治教育</w:t>
      </w:r>
    </w:p>
    <w:p w14:paraId="0BA91BAA">
      <w:p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（一）师德师风建设</w:t>
      </w:r>
    </w:p>
    <w:p w14:paraId="736729E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立足新时代，研究生部聚焦人才培养成效、科研创新质量等核心要素，以“科研育人”书写研究生教育创新发展新篇章。我院在人才培养中加强学风建设，不断完善质量评价机制。8月，召开上海音乐学院2022届优秀博士学位论文颁奖暨研究生学风建设宣讲会，8位获奖论文的导师和8位获奖博士分别从治学、科研、写作等方面谈了各自的体会。2023届优秀博士学位论文评审也于年底完成，共有8篇论文获评。</w:t>
      </w:r>
    </w:p>
    <w:p w14:paraId="0CD4836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加强研究生导师队伍建设，牢固树立导师是研究生培养第一责任人的意识，构建良好的导学关系。组织新聘研究生导师参加上海市学位委员会组织的导师培训班，组织全院导师参加“四有导师学院”线上研修课程。</w:t>
      </w:r>
    </w:p>
    <w:p w14:paraId="3A780B8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进一步深入贯彻落实党的二十大精神，深入推进习近平新时代中国特色社会主义思想主题教育“后半篇文章”，加强师德师风建设，树立“躬耕教坛、强国有我”的志向和抱负，围绕思政育人，提高教师教学能力，加强拔尖创新人才培养，深化“四新”建设，教师发展中心、党委教师工作部于10月25日、11月1日举办2023秋季上海音乐学院青年教师教学暨师德师风培训班。本次培训班共有七场讲座，分为三大板块：一、师德师风建设；二、聚焦赛事，以赛促建；三、大思政视域下对于课程思政的探索和思考。学校推行“教创演研一体化”人才培养模式，把师德师风建设融入“教”、“创”、“演”、“研”每个环节。同时，师德师风建设还与学院的中心工作结合在一起，与后续的重点工作结合在一起。人才工作和师德师风建设是贯彻全年的重要工作。</w:t>
      </w:r>
    </w:p>
    <w:p w14:paraId="5B5D8C3A">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就业工作</w:t>
      </w:r>
    </w:p>
    <w:p w14:paraId="2444665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上、下半年分别举办两次“研究生就业与创业服务季”近30场专题活动，主题覆盖考博经验分享高校教师应聘、文化事业单位行政或教育岗、三支一扶政策详解、与图书有关的岗位、体制内外的演艺生涯、创业感悟分享等。2023年度</w:t>
      </w:r>
      <w:r>
        <w:rPr>
          <w:rFonts w:hint="eastAsia" w:ascii="仿宋_GB2312" w:hAnsi="Times New Roman" w:eastAsia="仿宋_GB2312" w:cs="Times New Roman"/>
          <w:sz w:val="28"/>
          <w:szCs w:val="28"/>
        </w:rPr>
        <w:t>艺术学理论硕士毕业生就业落实率83.33%，博士毕业生就业落实率100%</w:t>
      </w:r>
    </w:p>
    <w:p w14:paraId="55788A7E">
      <w:pPr>
        <w:numPr>
          <w:ilvl w:val="0"/>
          <w:numId w:val="2"/>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学风建设</w:t>
      </w:r>
    </w:p>
    <w:p w14:paraId="1E9244A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引导研究生树立正确的价值取向、学术导向，把正确的思想价值融入科研育人的全过程。研究生部一方面积极推进完善研究生奖惩制度，并在落实奖惩措施的同时积极展开各类学风、科研活动，推进研究生学风建设，提升研究生科研水平。</w:t>
      </w:r>
    </w:p>
    <w:p w14:paraId="0B520B6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年度完成研究生国家奖学金与各类学业奖学金、助学金、中银奖学金、福美奖学金、上音-汉堡联合培养项目奖学金的年度申报、审核、发放工作。组织开展2023届优秀毕业生、三好学生、优秀学生干部等评选工作。举行上海音乐学院第八次研究生代表大会。这些评优奖励活动对研究生全体有较好优秀典型学习示范意义。</w:t>
      </w:r>
    </w:p>
    <w:p w14:paraId="4C44ADA0">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2023年9月26日</w:t>
      </w:r>
      <w:r>
        <w:rPr>
          <w:rFonts w:hint="eastAsia" w:ascii="仿宋_GB2312" w:hAnsi="宋体" w:eastAsia="仿宋_GB2312" w:cs="宋体"/>
          <w:sz w:val="28"/>
          <w:szCs w:val="28"/>
        </w:rPr>
        <w:t>-12月7日举行了</w:t>
      </w:r>
      <w:r>
        <w:rPr>
          <w:rFonts w:ascii="仿宋_GB2312" w:hAnsi="宋体" w:eastAsia="仿宋_GB2312" w:cs="宋体"/>
          <w:sz w:val="28"/>
          <w:szCs w:val="28"/>
        </w:rPr>
        <w:t>上海音乐学院第十八届奏鸣·研究生艺术节。奏鸣·研究生艺术节不仅是艺术交融的盛宴，也是一个学术交流、提升修为的优质平台。本届艺术节活动共计32场，全面覆盖了教学、创作、演出、研究等多个环节，呈现了集视听、思想、实践于一体的学术盛宴和艺术盛会。历时整个秋季学期，充分将各类活动融入日常教学中，丰富了研究生的培养模式，全方位、多角度地展现出研究教育的全面性、实践性、综合性</w:t>
      </w:r>
      <w:r>
        <w:rPr>
          <w:rFonts w:hint="eastAsia" w:ascii="仿宋_GB2312" w:hAnsi="宋体" w:eastAsia="仿宋_GB2312" w:cs="宋体"/>
          <w:sz w:val="28"/>
          <w:szCs w:val="28"/>
        </w:rPr>
        <w:t>。</w:t>
      </w:r>
    </w:p>
    <w:p w14:paraId="1DFD1E09">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11月27-28日，上海音乐学院教育教学工作会议召开，党委书记裴小倩、院长廖昌永出席并讲话。研究生部主任钱仁平教授作题为“优化学科专业结构，赋能拔尖创新音乐艺术人才培养”的工作报告。</w:t>
      </w:r>
    </w:p>
    <w:p w14:paraId="5F6F2984">
      <w:pPr>
        <w:numPr>
          <w:ilvl w:val="0"/>
          <w:numId w:val="3"/>
        </w:numPr>
        <w:spacing w:line="560" w:lineRule="exact"/>
        <w:ind w:firstLine="562" w:firstLineChars="200"/>
        <w:rPr>
          <w:rFonts w:ascii="仿宋_GB2312" w:hAnsi="宋体" w:eastAsia="仿宋_GB2312" w:cs="宋体"/>
          <w:sz w:val="28"/>
          <w:szCs w:val="28"/>
        </w:rPr>
      </w:pPr>
      <w:r>
        <w:rPr>
          <w:rFonts w:hint="eastAsia" w:ascii="仿宋_GB2312" w:hAnsi="宋体" w:eastAsia="仿宋_GB2312"/>
          <w:b/>
          <w:sz w:val="28"/>
        </w:rPr>
        <w:t>文化传承和艺术科</w:t>
      </w:r>
    </w:p>
    <w:p w14:paraId="41E1AEE7">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rPr>
        <w:t>（一）获批重大重点项目情况</w:t>
      </w:r>
    </w:p>
    <w:p w14:paraId="050B4C64">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坚持立德树人、推进三全育人，2023年继续全面提升研究生教育高质量发展。《基于“歌剧学院”建设的歌剧表演复合应用型研究生人才跨学科培养》（项目负责人：廖昌永教授）和《中国式音乐艺术专业博士人才培养体系创新与实践》（项目负责人：钱仁平教授），入选上海市教育委员会、上海市学位委员会2023年研究生教育改革项目。</w:t>
      </w:r>
    </w:p>
    <w:p w14:paraId="22AF46E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2023年3月，有两位作曲指挥系博士研究生获批国家艺术进青年艺术创作人才资助项目。</w:t>
      </w:r>
    </w:p>
    <w:p w14:paraId="22C8664C">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2023年6月，上海音乐学院“作曲技术理论研究生人才培养模式创新与实践”获得国家级教学成果二等奖，上音成为全国音乐学院研究生教育赛道唯一获奖单位。成果此次获奖，是上音持续深化“教创演研一体化”人才培养模式，全面提升学生的综合素养，培养德艺双馨、红专兼备、国际视野、全面发展的拔尖创新艺术人才的集中体现。</w:t>
      </w:r>
    </w:p>
    <w:p w14:paraId="4968FE06">
      <w:pPr>
        <w:spacing w:line="560" w:lineRule="exact"/>
        <w:ind w:left="562"/>
        <w:rPr>
          <w:rFonts w:ascii="仿宋_GB2312" w:hAnsi="宋体" w:eastAsia="仿宋_GB2312" w:cs="宋体"/>
          <w:b/>
          <w:bCs/>
          <w:sz w:val="28"/>
          <w:szCs w:val="28"/>
        </w:rPr>
      </w:pPr>
      <w:r>
        <w:rPr>
          <w:rFonts w:hint="eastAsia" w:ascii="仿宋_GB2312" w:hAnsi="宋体" w:eastAsia="仿宋_GB2312" w:cs="宋体"/>
          <w:b/>
          <w:bCs/>
          <w:sz w:val="28"/>
          <w:szCs w:val="28"/>
        </w:rPr>
        <w:t>（二）</w:t>
      </w:r>
      <w:r>
        <w:rPr>
          <w:rFonts w:ascii="仿宋_GB2312" w:hAnsi="宋体" w:eastAsia="仿宋_GB2312" w:cs="宋体"/>
          <w:b/>
          <w:bCs/>
          <w:sz w:val="28"/>
          <w:szCs w:val="28"/>
        </w:rPr>
        <w:t>学生参加本领域国内外重要学术会议情况</w:t>
      </w:r>
    </w:p>
    <w:tbl>
      <w:tblPr>
        <w:tblStyle w:val="4"/>
        <w:tblW w:w="9231" w:type="dxa"/>
        <w:jc w:val="center"/>
        <w:tblLayout w:type="autofit"/>
        <w:tblCellMar>
          <w:top w:w="0" w:type="dxa"/>
          <w:left w:w="108" w:type="dxa"/>
          <w:bottom w:w="0" w:type="dxa"/>
          <w:right w:w="108" w:type="dxa"/>
        </w:tblCellMar>
      </w:tblPr>
      <w:tblGrid>
        <w:gridCol w:w="1296"/>
        <w:gridCol w:w="1140"/>
        <w:gridCol w:w="3284"/>
        <w:gridCol w:w="3511"/>
      </w:tblGrid>
      <w:tr w14:paraId="736C8624">
        <w:tblPrEx>
          <w:tblCellMar>
            <w:top w:w="0" w:type="dxa"/>
            <w:left w:w="108" w:type="dxa"/>
            <w:bottom w:w="0" w:type="dxa"/>
            <w:right w:w="108" w:type="dxa"/>
          </w:tblCellMar>
        </w:tblPrEx>
        <w:trPr>
          <w:trHeight w:val="740"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50459E9C">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kern w:val="0"/>
                <w:sz w:val="20"/>
                <w:szCs w:val="20"/>
                <w:lang w:bidi="ar"/>
              </w:rPr>
              <w:t>报告时间</w:t>
            </w:r>
          </w:p>
        </w:tc>
        <w:tc>
          <w:tcPr>
            <w:tcW w:w="1140"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87D9379">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kern w:val="0"/>
                <w:sz w:val="20"/>
                <w:szCs w:val="20"/>
                <w:lang w:bidi="ar"/>
              </w:rPr>
              <w:t>学生姓名</w:t>
            </w:r>
          </w:p>
        </w:tc>
        <w:tc>
          <w:tcPr>
            <w:tcW w:w="3284"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335AFD28">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kern w:val="0"/>
                <w:sz w:val="20"/>
                <w:szCs w:val="20"/>
                <w:lang w:bidi="ar"/>
              </w:rPr>
              <w:t>会议名称</w:t>
            </w:r>
          </w:p>
        </w:tc>
        <w:tc>
          <w:tcPr>
            <w:tcW w:w="3511"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C1E2F31">
            <w:pPr>
              <w:widowControl/>
              <w:jc w:val="center"/>
              <w:textAlignment w:val="center"/>
              <w:rPr>
                <w:rFonts w:ascii="方正仿宋_GB2312" w:hAnsi="方正仿宋_GB2312" w:eastAsia="方正仿宋_GB2312" w:cs="方正仿宋_GB2312"/>
                <w:b/>
                <w:bCs/>
                <w:color w:val="000000"/>
                <w:sz w:val="20"/>
                <w:szCs w:val="20"/>
              </w:rPr>
            </w:pPr>
            <w:r>
              <w:rPr>
                <w:rFonts w:hint="eastAsia" w:ascii="方正仿宋_GB2312" w:hAnsi="方正仿宋_GB2312" w:eastAsia="方正仿宋_GB2312" w:cs="方正仿宋_GB2312"/>
                <w:b/>
                <w:bCs/>
                <w:color w:val="000000"/>
                <w:kern w:val="0"/>
                <w:sz w:val="20"/>
                <w:szCs w:val="20"/>
                <w:lang w:bidi="ar"/>
              </w:rPr>
              <w:t>报告题目</w:t>
            </w:r>
          </w:p>
        </w:tc>
      </w:tr>
      <w:tr w14:paraId="281E52DA">
        <w:tblPrEx>
          <w:tblCellMar>
            <w:top w:w="0" w:type="dxa"/>
            <w:left w:w="108" w:type="dxa"/>
            <w:bottom w:w="0" w:type="dxa"/>
            <w:right w:w="108" w:type="dxa"/>
          </w:tblCellMar>
        </w:tblPrEx>
        <w:trPr>
          <w:trHeight w:val="363"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7217D642">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2023/8/25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A6B5F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杨弋</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0C30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第十七届音乐感知与认知会议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C2F6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不同语言的语音到歌声的感知错觉转换</w:t>
            </w:r>
          </w:p>
        </w:tc>
      </w:tr>
      <w:tr w14:paraId="1CC38ABB">
        <w:tblPrEx>
          <w:tblCellMar>
            <w:top w:w="0" w:type="dxa"/>
            <w:left w:w="108" w:type="dxa"/>
            <w:bottom w:w="0" w:type="dxa"/>
            <w:right w:w="108" w:type="dxa"/>
          </w:tblCellMar>
        </w:tblPrEx>
        <w:trPr>
          <w:trHeight w:val="608"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368DA94">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2023/11/23</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06307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汪静</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D7CC4D">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音乐评论学会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C7E77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当代音乐作品批评的理论研究</w:t>
            </w:r>
          </w:p>
        </w:tc>
      </w:tr>
      <w:tr w14:paraId="2BD74D20">
        <w:tblPrEx>
          <w:tblCellMar>
            <w:top w:w="0" w:type="dxa"/>
            <w:left w:w="108" w:type="dxa"/>
            <w:bottom w:w="0" w:type="dxa"/>
            <w:right w:w="108" w:type="dxa"/>
          </w:tblCellMar>
        </w:tblPrEx>
        <w:trPr>
          <w:trHeight w:val="543"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61655311">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2023/5/11</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3F235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张孜乐</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33BDD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10"/>
                <w:rFonts w:hint="eastAsia" w:ascii="仿宋_GB2312" w:hAnsi="方正仿宋_GB2312" w:eastAsia="仿宋_GB2312" w:cs="方正仿宋_GB2312"/>
                <w:lang w:bidi="ar"/>
              </w:rPr>
              <w:t>24</w:t>
            </w:r>
            <w:r>
              <w:rPr>
                <w:rStyle w:val="11"/>
                <w:rFonts w:hint="default" w:ascii="仿宋_GB2312" w:hAnsi="方正仿宋_GB2312" w:eastAsia="仿宋_GB2312" w:cs="方正仿宋_GB2312"/>
                <w:lang w:bidi="ar"/>
              </w:rPr>
              <w:t>届</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磬（</w:t>
            </w:r>
            <w:r>
              <w:rPr>
                <w:rStyle w:val="10"/>
                <w:rFonts w:hint="eastAsia" w:ascii="仿宋_GB2312" w:hAnsi="方正仿宋_GB2312" w:eastAsia="仿宋_GB2312" w:cs="方正仿宋_GB2312"/>
                <w:lang w:bidi="ar"/>
              </w:rPr>
              <w:t>CHIME</w:t>
            </w:r>
            <w:r>
              <w:rPr>
                <w:rStyle w:val="11"/>
                <w:rFonts w:hint="default" w:ascii="仿宋_GB2312" w:hAnsi="方正仿宋_GB2312" w:eastAsia="仿宋_GB2312" w:cs="方正仿宋_GB2312"/>
                <w:lang w:bidi="ar"/>
              </w:rPr>
              <w:t>）</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国际研讨会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42370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The Iconographical Depictions of the Ethnic Instruments in the Qing Dynasty</w:t>
            </w:r>
          </w:p>
        </w:tc>
      </w:tr>
      <w:tr w14:paraId="63A0BD15">
        <w:tblPrEx>
          <w:tblCellMar>
            <w:top w:w="0" w:type="dxa"/>
            <w:left w:w="108" w:type="dxa"/>
            <w:bottom w:w="0" w:type="dxa"/>
            <w:right w:w="108" w:type="dxa"/>
          </w:tblCellMar>
        </w:tblPrEx>
        <w:trPr>
          <w:trHeight w:val="495"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37DDC47">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2023/9/24</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F7F5A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张孜乐</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45BE5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多元文化中的音乐形态与表演分析研讨会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32BA0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等周期性伴随着变化，从严格到散漫</w:t>
            </w:r>
          </w:p>
        </w:tc>
      </w:tr>
      <w:tr w14:paraId="14A888E6">
        <w:tblPrEx>
          <w:tblCellMar>
            <w:top w:w="0" w:type="dxa"/>
            <w:left w:w="108" w:type="dxa"/>
            <w:bottom w:w="0" w:type="dxa"/>
            <w:right w:w="108" w:type="dxa"/>
          </w:tblCellMar>
        </w:tblPrEx>
        <w:trPr>
          <w:trHeight w:val="519"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4A269D5A">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2023/5/8</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1EA9C2">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熊曼谕</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0A56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欧洲中国音乐研究基金</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磬（</w:t>
            </w:r>
            <w:r>
              <w:rPr>
                <w:rStyle w:val="10"/>
                <w:rFonts w:hint="eastAsia" w:ascii="仿宋_GB2312" w:hAnsi="方正仿宋_GB2312" w:eastAsia="仿宋_GB2312" w:cs="方正仿宋_GB2312"/>
                <w:lang w:bidi="ar"/>
              </w:rPr>
              <w:t>CHIME</w:t>
            </w:r>
            <w:r>
              <w:rPr>
                <w:rStyle w:val="11"/>
                <w:rFonts w:hint="default" w:ascii="仿宋_GB2312" w:hAnsi="方正仿宋_GB2312" w:eastAsia="仿宋_GB2312" w:cs="方正仿宋_GB2312"/>
                <w:lang w:bidi="ar"/>
              </w:rPr>
              <w:t>）</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第二十四届国际研讨会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3EB0F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中国弓弦齐特琴的传播</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从历史到当下</w:t>
            </w:r>
          </w:p>
        </w:tc>
      </w:tr>
      <w:tr w14:paraId="7EC9289A">
        <w:tblPrEx>
          <w:tblCellMar>
            <w:top w:w="0" w:type="dxa"/>
            <w:left w:w="108" w:type="dxa"/>
            <w:bottom w:w="0" w:type="dxa"/>
            <w:right w:w="108" w:type="dxa"/>
          </w:tblCellMar>
        </w:tblPrEx>
        <w:trPr>
          <w:trHeight w:val="543"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03AE198D">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2023/6/19</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331AF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熊曼谕</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F4D12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瑞士日内瓦高等音乐学院暑期研修项目</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当今的民族音乐学</w:t>
            </w:r>
            <w:r>
              <w:rPr>
                <w:rStyle w:val="10"/>
                <w:rFonts w:hint="eastAsia" w:ascii="仿宋_GB2312" w:hAnsi="方正仿宋_GB2312" w:eastAsia="仿宋_GB2312" w:cs="方正仿宋_GB2312"/>
                <w:lang w:bidi="ar"/>
              </w:rPr>
              <w:t>”</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F945F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《反思音乐人类学的应用与实践</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以</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音乐义工</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的介入个案为例》</w:t>
            </w:r>
          </w:p>
        </w:tc>
      </w:tr>
      <w:tr w14:paraId="1474CFEF">
        <w:tblPrEx>
          <w:tblCellMar>
            <w:top w:w="0" w:type="dxa"/>
            <w:left w:w="108" w:type="dxa"/>
            <w:bottom w:w="0" w:type="dxa"/>
            <w:right w:w="108" w:type="dxa"/>
          </w:tblCellMar>
        </w:tblPrEx>
        <w:trPr>
          <w:trHeight w:val="495"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7278059">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2023/9/23</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33CC3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熊曼谕</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CC7E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多元文化中的音乐形态与表演分析研讨会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2E7197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迈克尔</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腾泽主编《世界音乐分析研究》</w:t>
            </w:r>
          </w:p>
        </w:tc>
      </w:tr>
      <w:tr w14:paraId="1B8AA3D1">
        <w:tblPrEx>
          <w:tblCellMar>
            <w:top w:w="0" w:type="dxa"/>
            <w:left w:w="108" w:type="dxa"/>
            <w:bottom w:w="0" w:type="dxa"/>
            <w:right w:w="108" w:type="dxa"/>
          </w:tblCellMar>
        </w:tblPrEx>
        <w:trPr>
          <w:trHeight w:val="543"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15AFA5A9">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2023/10/3</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A445C8">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林雅仪</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3DE0D7">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第</w:t>
            </w:r>
            <w:r>
              <w:rPr>
                <w:rStyle w:val="10"/>
                <w:rFonts w:hint="eastAsia" w:ascii="仿宋_GB2312" w:hAnsi="方正仿宋_GB2312" w:eastAsia="仿宋_GB2312" w:cs="方正仿宋_GB2312"/>
                <w:lang w:bidi="ar"/>
              </w:rPr>
              <w:t>25</w:t>
            </w:r>
            <w:r>
              <w:rPr>
                <w:rStyle w:val="11"/>
                <w:rFonts w:hint="default" w:ascii="仿宋_GB2312" w:hAnsi="方正仿宋_GB2312" w:eastAsia="仿宋_GB2312" w:cs="方正仿宋_GB2312"/>
                <w:lang w:bidi="ar"/>
              </w:rPr>
              <w:t>届</w:t>
            </w:r>
            <w:r>
              <w:rPr>
                <w:rStyle w:val="10"/>
                <w:rFonts w:hint="eastAsia" w:ascii="仿宋_GB2312" w:hAnsi="方正仿宋_GB2312" w:eastAsia="仿宋_GB2312" w:cs="方正仿宋_GB2312"/>
                <w:lang w:bidi="ar"/>
              </w:rPr>
              <w:t>CHIME</w:t>
            </w:r>
            <w:r>
              <w:rPr>
                <w:rStyle w:val="11"/>
                <w:rFonts w:hint="default" w:ascii="仿宋_GB2312" w:hAnsi="方正仿宋_GB2312" w:eastAsia="仿宋_GB2312" w:cs="方正仿宋_GB2312"/>
                <w:lang w:bidi="ar"/>
              </w:rPr>
              <w:t>国际学术会议</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75982F">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Words, music and meanings of today's Wenzhou guci</w:t>
            </w:r>
          </w:p>
        </w:tc>
      </w:tr>
      <w:tr w14:paraId="1E098B8D">
        <w:tblPrEx>
          <w:tblCellMar>
            <w:top w:w="0" w:type="dxa"/>
            <w:left w:w="108" w:type="dxa"/>
            <w:bottom w:w="0" w:type="dxa"/>
            <w:right w:w="108" w:type="dxa"/>
          </w:tblCellMar>
        </w:tblPrEx>
        <w:trPr>
          <w:trHeight w:val="519"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79310BC1">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2023/12/6</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ECBAF3">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单金龙</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3F10C">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作曲技术理论与中国当代音乐创作研究学术研讨会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42DD8A">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音乐时间之于戏剧的控制</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以温德青歌剧《赌命》为例</w:t>
            </w:r>
          </w:p>
        </w:tc>
      </w:tr>
      <w:tr w14:paraId="0700A366">
        <w:tblPrEx>
          <w:tblCellMar>
            <w:top w:w="0" w:type="dxa"/>
            <w:left w:w="108" w:type="dxa"/>
            <w:bottom w:w="0" w:type="dxa"/>
            <w:right w:w="108" w:type="dxa"/>
          </w:tblCellMar>
        </w:tblPrEx>
        <w:trPr>
          <w:trHeight w:val="543"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EAEFF7"/>
            <w:vAlign w:val="center"/>
          </w:tcPr>
          <w:p w14:paraId="270940ED">
            <w:pPr>
              <w:widowControl/>
              <w:jc w:val="center"/>
              <w:textAlignment w:val="center"/>
              <w:rPr>
                <w:rFonts w:ascii="仿宋_GB2312" w:hAnsi="方正仿宋_GB2312" w:eastAsia="仿宋_GB2312" w:cs="方正仿宋_GB2312"/>
                <w:b/>
                <w:bCs/>
                <w:color w:val="000000"/>
                <w:sz w:val="20"/>
                <w:szCs w:val="20"/>
              </w:rPr>
            </w:pPr>
            <w:r>
              <w:rPr>
                <w:rFonts w:hint="eastAsia" w:ascii="仿宋_GB2312" w:hAnsi="方正仿宋_GB2312" w:eastAsia="仿宋_GB2312" w:cs="方正仿宋_GB2312"/>
                <w:b/>
                <w:bCs/>
                <w:color w:val="000000"/>
                <w:kern w:val="0"/>
                <w:sz w:val="20"/>
                <w:szCs w:val="20"/>
                <w:lang w:bidi="ar"/>
              </w:rPr>
              <w:t>2023/11/25</w:t>
            </w:r>
          </w:p>
        </w:tc>
        <w:tc>
          <w:tcPr>
            <w:tcW w:w="11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CA382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单金龙</w:t>
            </w:r>
          </w:p>
        </w:tc>
        <w:tc>
          <w:tcPr>
            <w:tcW w:w="328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653599">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湖北第二师范学院举办</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大中小美育一体化</w:t>
            </w:r>
            <w:r>
              <w:rPr>
                <w:rStyle w:val="10"/>
                <w:rFonts w:hint="eastAsia" w:ascii="仿宋_GB2312" w:hAnsi="方正仿宋_GB2312" w:eastAsia="仿宋_GB2312" w:cs="方正仿宋_GB2312"/>
                <w:lang w:bidi="ar"/>
              </w:rPr>
              <w:t>”</w:t>
            </w:r>
            <w:r>
              <w:rPr>
                <w:rStyle w:val="11"/>
                <w:rFonts w:hint="default" w:ascii="仿宋_GB2312" w:hAnsi="方正仿宋_GB2312" w:eastAsia="仿宋_GB2312" w:cs="方正仿宋_GB2312"/>
                <w:lang w:bidi="ar"/>
              </w:rPr>
              <w:t>美育实践教学共同体学术研讨会</w:t>
            </w:r>
          </w:p>
        </w:tc>
        <w:tc>
          <w:tcPr>
            <w:tcW w:w="351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33EF01">
            <w:pPr>
              <w:widowControl/>
              <w:jc w:val="center"/>
              <w:textAlignment w:val="bottom"/>
              <w:rPr>
                <w:rFonts w:ascii="仿宋_GB2312" w:hAnsi="方正仿宋_GB2312" w:eastAsia="仿宋_GB2312" w:cs="方正仿宋_GB2312"/>
                <w:color w:val="000000"/>
                <w:sz w:val="20"/>
                <w:szCs w:val="20"/>
              </w:rPr>
            </w:pPr>
            <w:r>
              <w:rPr>
                <w:rFonts w:hint="eastAsia" w:ascii="仿宋_GB2312" w:hAnsi="方正仿宋_GB2312" w:eastAsia="仿宋_GB2312" w:cs="方正仿宋_GB2312"/>
                <w:color w:val="000000"/>
                <w:kern w:val="0"/>
                <w:sz w:val="20"/>
                <w:szCs w:val="20"/>
                <w:lang w:bidi="ar"/>
              </w:rPr>
              <w:t>用民族声乐讲中国故事的湖北籍作曲家王原平</w:t>
            </w:r>
          </w:p>
        </w:tc>
      </w:tr>
    </w:tbl>
    <w:p w14:paraId="30D83F4A">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研究生教育综合改革</w:t>
      </w:r>
    </w:p>
    <w:p w14:paraId="413B19F8">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招生工作</w:t>
      </w:r>
    </w:p>
    <w:p w14:paraId="78D9F0F3">
      <w:pPr>
        <w:spacing w:line="560" w:lineRule="exact"/>
        <w:ind w:firstLine="560" w:firstLineChars="200"/>
      </w:pPr>
      <w:r>
        <w:rPr>
          <w:rFonts w:hint="eastAsia" w:ascii="仿宋_GB2312" w:hAnsi="宋体" w:eastAsia="仿宋_GB2312" w:cs="宋体"/>
          <w:sz w:val="28"/>
          <w:szCs w:val="28"/>
        </w:rPr>
        <w:t>本学位授权点2023年博士研究生招生数6人，均为全日制；硕士研究生招生数21人，均为全日制。</w:t>
      </w:r>
    </w:p>
    <w:p w14:paraId="3AA0E013">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为积极应对疫情常态化管理，落实研究生招生工作恢复线下考试，保障招生工作的有序进行。在市教委、校党政班子的领导下，研招办应用信息化手段组织开展线下招生工作，与各院系密切沟通联系，形成招生系列方案与文件包括《上海音乐学院2024年攻读硕士学位研究生招生简章》《</w:t>
      </w:r>
      <w:r>
        <w:fldChar w:fldCharType="begin"/>
      </w:r>
      <w:r>
        <w:instrText xml:space="preserve"> HYPERLINK "https://yjsb.shcmusic.edu.cn/2023/1008/c2675a49010/page.htm" \t "https://yjsb.shcmusic.edu.cn/2675/_blank" \o "上海音乐学院报考点（考点代码：3124）2024年硕士研究生招生考试公告" </w:instrText>
      </w:r>
      <w:r>
        <w:fldChar w:fldCharType="separate"/>
      </w:r>
      <w:r>
        <w:rPr>
          <w:rFonts w:ascii="仿宋_GB2312" w:hAnsi="宋体" w:eastAsia="仿宋_GB2312" w:cs="宋体"/>
          <w:sz w:val="28"/>
          <w:szCs w:val="28"/>
        </w:rPr>
        <w:t>上海音乐学院报考点（考点代码：3124）2024年硕士研究生招生考试公告</w:t>
      </w:r>
      <w:r>
        <w:rPr>
          <w:rFonts w:ascii="仿宋_GB2312" w:hAnsi="宋体" w:eastAsia="仿宋_GB2312" w:cs="宋体"/>
          <w:sz w:val="28"/>
          <w:szCs w:val="28"/>
        </w:rPr>
        <w:fldChar w:fldCharType="end"/>
      </w:r>
      <w:r>
        <w:rPr>
          <w:rFonts w:hint="eastAsia" w:ascii="仿宋_GB2312" w:hAnsi="宋体" w:eastAsia="仿宋_GB2312" w:cs="宋体"/>
          <w:sz w:val="28"/>
          <w:szCs w:val="28"/>
        </w:rPr>
        <w:t>》《2024年全国硕士研究生招生考试上海音乐学院报考点（代码3124）网上确认公告》《上海音乐学院2023年硕士研究生招生复试及录取工作办法》《上海音乐学院2023年硕士研究生招生复试考生须知》《上海音乐学院2023年硕士研究生招生复试分段表》《上海音乐学院2023年博士研究生招生方案》《上海音乐学院2023年博士研究生招生考试安排》《2023年博士研究生复试分段表》《2023年博士研究生招生考试复试日程安排》《上海音乐学院2024年接收推荐免试攻读硕士学位研究生章程》等。</w:t>
      </w:r>
    </w:p>
    <w:p w14:paraId="790D48EA">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培养环节</w:t>
      </w:r>
    </w:p>
    <w:p w14:paraId="0481DB1F">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学籍相关工作方面，积极响应上海市教委、上海市学生事务中心的相关要求，认真做好2023级研究生新生人像比对与电子学籍注册工作、其他年级研究生老生电子学籍学年注册工作；组织2023级研究生新生进行学籍自查并督促完成，做到新生全部自查；定期完成2023届研究生毕业生学籍信息核对与订正工作；办理研究生在学期间常规学籍异动(如：休学、复学、延期、退学、换导师、增补论文导师等)；及时进行学籍预警工作（如：对即将超出最长培养年限的研究生提出学籍预警并进行后续相关操作指导；对休学期满的同学进行提醒，指导其如期办理复学等工作等）；按时组织研究生证副卡新卡制证及旧卡遗失补办相关工作；配合上报各批次研究生学籍数据(教育部平台、高基数据、学工部门数据等)；及时更新各平台研究生学籍数据，以保持数据的准确性及一致性（研究生总名单、学信网、研究生教学服务系统等）；及时将已产生的学籍异动数据，及时通知到相关业务部门，以便联动开展后续工作（如综合办、财务处、留学生办公室等）；研究生教学服务系统中的常规学籍数据维护工作（新生学籍数据录入、学籍异动数据录入、毕业生学籍数据迁移等）。</w:t>
      </w:r>
    </w:p>
    <w:p w14:paraId="700855B8">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在研究生课程建设方面，进一步完善研究生课程体系与精品课程相关建设。根据教育部等上级部门的指导与要求，结合我院研究生学科专业的教学规律与发展目标，研究生部联合各教学系部进一步完善研究生课程体系与精品课程的建设，调整硕博研究生课程学分的结构，促进研究生课程配置更贴近各学科专业的发展及对研究生教育质量的提升。本年度新上报研究生选修课程</w:t>
      </w:r>
      <w:r>
        <w:rPr>
          <w:rFonts w:ascii="仿宋_GB2312" w:hAnsi="宋体" w:eastAsia="仿宋_GB2312" w:cs="宋体"/>
          <w:sz w:val="28"/>
          <w:szCs w:val="28"/>
        </w:rPr>
        <w:t>23</w:t>
      </w:r>
      <w:r>
        <w:rPr>
          <w:rFonts w:hint="eastAsia" w:ascii="仿宋_GB2312" w:hAnsi="宋体" w:eastAsia="仿宋_GB2312" w:cs="宋体"/>
          <w:sz w:val="28"/>
          <w:szCs w:val="28"/>
        </w:rPr>
        <w:t>门，成功开课</w:t>
      </w:r>
      <w:r>
        <w:rPr>
          <w:rFonts w:ascii="仿宋_GB2312" w:hAnsi="宋体" w:eastAsia="仿宋_GB2312" w:cs="宋体"/>
          <w:sz w:val="28"/>
          <w:szCs w:val="28"/>
        </w:rPr>
        <w:t>20</w:t>
      </w:r>
      <w:r>
        <w:rPr>
          <w:rFonts w:hint="eastAsia" w:ascii="仿宋_GB2312" w:hAnsi="宋体" w:eastAsia="仿宋_GB2312" w:cs="宋体"/>
          <w:sz w:val="28"/>
          <w:szCs w:val="28"/>
        </w:rPr>
        <w:t>门。</w:t>
      </w:r>
      <w:r>
        <w:rPr>
          <w:rFonts w:ascii="仿宋_GB2312" w:hAnsi="宋体" w:eastAsia="仿宋_GB2312" w:cs="宋体"/>
          <w:sz w:val="28"/>
          <w:szCs w:val="28"/>
        </w:rPr>
        <w:t>7</w:t>
      </w:r>
      <w:r>
        <w:rPr>
          <w:rFonts w:hint="eastAsia" w:ascii="仿宋_GB2312" w:hAnsi="宋体" w:eastAsia="仿宋_GB2312" w:cs="宋体"/>
          <w:sz w:val="28"/>
          <w:szCs w:val="28"/>
        </w:rPr>
        <w:t>月分别组织开展了对于研究生精品课程（课程思政专项）的申报以及评选工作，并围绕研究生核心课程建设的教学需要评选出了精品课程（课程思政专项）专业主课1</w:t>
      </w:r>
      <w:r>
        <w:rPr>
          <w:rFonts w:ascii="仿宋_GB2312" w:hAnsi="宋体" w:eastAsia="仿宋_GB2312" w:cs="宋体"/>
          <w:sz w:val="28"/>
          <w:szCs w:val="28"/>
        </w:rPr>
        <w:t>5</w:t>
      </w:r>
      <w:r>
        <w:rPr>
          <w:rFonts w:hint="eastAsia" w:ascii="仿宋_GB2312" w:hAnsi="宋体" w:eastAsia="仿宋_GB2312" w:cs="宋体"/>
          <w:sz w:val="28"/>
          <w:szCs w:val="28"/>
        </w:rPr>
        <w:t>门，专业基础课7门。</w:t>
      </w:r>
    </w:p>
    <w:p w14:paraId="05A667FD">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研究生培养环节方面，本年度共举办博士研究生开题报告会7场；博士研究生中期考核7场次；博士研究生学术报告会11场次。本年度共举办硕士研究生开题报告会21场次；学术学位硕士研究生学术报告会19场次。</w:t>
      </w:r>
    </w:p>
    <w:p w14:paraId="2888C29B">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学位工作</w:t>
      </w:r>
    </w:p>
    <w:p w14:paraId="4DDE1A01">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本学位授权点2023年授予博士学位5人，硕士学位17人。为保障学位工作进行，本年逐步推进学位点评估工作，不断完善完成学位授权点合格评估院级自我评估工作方案及评价体系。</w:t>
      </w:r>
    </w:p>
    <w:p w14:paraId="0F98F900">
      <w:pPr>
        <w:numPr>
          <w:ilvl w:val="0"/>
          <w:numId w:val="4"/>
        </w:numPr>
        <w:spacing w:line="560" w:lineRule="exact"/>
        <w:ind w:firstLine="480"/>
        <w:rPr>
          <w:rFonts w:ascii="仿宋_GB2312" w:hAnsi="宋体" w:eastAsia="仿宋_GB2312" w:cs="宋体"/>
          <w:b/>
          <w:bCs/>
          <w:sz w:val="28"/>
          <w:szCs w:val="28"/>
        </w:rPr>
      </w:pPr>
      <w:r>
        <w:rPr>
          <w:rFonts w:hint="eastAsia" w:ascii="仿宋_GB2312" w:hAnsi="宋体" w:eastAsia="仿宋_GB2312" w:cs="宋体"/>
          <w:b/>
          <w:bCs/>
          <w:sz w:val="28"/>
          <w:szCs w:val="28"/>
        </w:rPr>
        <w:t>学科建设</w:t>
      </w:r>
    </w:p>
    <w:p w14:paraId="306D7557">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深耕音乐创作与理论、音乐表演、音乐学理论和音乐应用“四轮驱动”的学科建设模式，积极推动并实现学科交叉融合。“音乐与舞蹈学”在“软科”中国最好学科排行中排名第二；“音乐表演专业”连续两年获“软科”中国大学专业排名第一。学校在QS世界大学排名“艺术表演”中位列第43位，取得历史性突破。在第五轮学科评估中，三个一级学科均取得佳绩，其中“音乐与舞蹈学”持续保持优异成绩。</w:t>
      </w:r>
    </w:p>
    <w:p w14:paraId="0D9E124B">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新版学科专业目录调整为契机，优化各学科专业布局。加强优势实践型专业领域“音乐”“戏剧与影视”的远期规划和建设发展，丰富传统学术型一级学科“艺术学”的建设内涵，同时探索音乐人工智能、音乐科技与运用、设计与融媒体、音乐康疗等新兴学科的布局策略，积极发展交叉学科，以适应人才发展和社会需要。学校深入落实中央和市委人才工作会议精神，以新一轮“创新团队”建设为举措，深度对接上海市“人才揽蓄”计划。</w:t>
      </w:r>
    </w:p>
    <w:p w14:paraId="70F4CB7F">
      <w:pPr>
        <w:spacing w:line="560" w:lineRule="exact"/>
        <w:ind w:firstLine="560" w:firstLineChars="200"/>
        <w:outlineLvl w:val="0"/>
        <w:rPr>
          <w:rFonts w:ascii="仿宋_GB2312" w:hAnsi="宋体" w:eastAsia="仿宋_GB2312" w:cs="宋体"/>
          <w:sz w:val="28"/>
          <w:szCs w:val="28"/>
        </w:rPr>
      </w:pPr>
      <w:r>
        <w:rPr>
          <w:rFonts w:hint="eastAsia" w:ascii="仿宋_GB2312" w:hAnsi="宋体" w:eastAsia="仿宋_GB2312" w:cs="宋体"/>
          <w:sz w:val="28"/>
          <w:szCs w:val="28"/>
        </w:rPr>
        <w:t>完成学位授权点对应调整工作。根据国务院学位委员会《关于对有关博士、硕士学位授权点进行对应调整的通知》（学位办〔2022〕21号），为进一步贯彻落实党的二十大会议精神，加快建设高质量研究生教育，全面提高人才自主培养质量，国家启动博士、硕士学位授权点对应调整工作，本次调整工作本着“保证质量、突出特色、积极稳妥”的原则予以推进，确保师生相关利益。我院根据新版研究生学科专业目录，完成对学校原有一级学科的对应调整工作并上报。根据上海市学位委员会《关于转发有关学位授权点对应调整名单》（沪学位〔2023〕4号），我院获艺术学一级学科博士授权点、音乐专业学位博士授权点，戏剧与影视专业学位硕士授权点。根据文件要求，2023年下半年启动的新一轮研究生招生、培养和学位授予工作按照调整后的学科和专业学位类别进行。在校生及2022年启动招生、2023年9月入学学生的培养仍按原学科专业执行。</w:t>
      </w:r>
    </w:p>
    <w:p w14:paraId="6064E92C">
      <w:pPr>
        <w:numPr>
          <w:ilvl w:val="0"/>
          <w:numId w:val="3"/>
        </w:numPr>
        <w:spacing w:line="560" w:lineRule="exact"/>
        <w:ind w:firstLine="562" w:firstLineChars="200"/>
        <w:rPr>
          <w:rFonts w:ascii="仿宋_GB2312" w:hAnsi="宋体" w:eastAsia="仿宋_GB2312" w:cs="宋体"/>
          <w:b/>
          <w:bCs/>
          <w:sz w:val="28"/>
          <w:szCs w:val="28"/>
        </w:rPr>
      </w:pPr>
      <w:r>
        <w:rPr>
          <w:rFonts w:hint="eastAsia" w:ascii="仿宋_GB2312" w:hAnsi="宋体" w:eastAsia="仿宋_GB2312" w:cs="宋体"/>
          <w:b/>
          <w:bCs/>
          <w:sz w:val="28"/>
          <w:szCs w:val="28"/>
        </w:rPr>
        <w:t>存在的问题与改进举措</w:t>
      </w:r>
    </w:p>
    <w:p w14:paraId="18994E0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教育部《全国硕士研究生招生考试自命题工作指导规范》（教学厅[2019]6号）及上海市教育考试院《上海市研究生招生考试自命题工作的指导意见》（沪教考院社考[2019]36号）的文件精神，研究生部于2023年继续推进硕士研究生初试的自命题工作的改革。在制定专业目录前，研究生部与相关学科培养指导委员分会分别召开多次专项会议。经过努力，现已将涉及三个一级学科专业、一个专业学位的15个招生领域的36科的自命题试题切实减少至34科。</w:t>
      </w:r>
    </w:p>
    <w:p w14:paraId="4F59019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学校将继续推动学校研究生教育适应党和国家事业发展需要，坚持“四为”方针，以“立德树人、服务需求、提高质量、卓越育人”为主线开展各项工作，深化研究生教育教学综合改革，力争在培养拔尖人才、提高创新能力、服务社会发展等方面取得新突破。</w:t>
      </w:r>
    </w:p>
    <w:p w14:paraId="385CE8D2">
      <w:pPr>
        <w:spacing w:line="56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进一步提升专业主课课程思政建设。采取“部系联动”“师生关联”的方式开展，研究生部进一步发挥指导、协调、服务和管理的职能作用。</w:t>
      </w:r>
    </w:p>
    <w:p w14:paraId="3B891B02">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加快构建新版学科专业目录下的课程体系。以拔尖创新人才培养为目标，对标新版学科专业目录，完成培养方案、课程教学方案的修订和完善。</w:t>
      </w:r>
    </w:p>
    <w:p w14:paraId="61AC8716">
      <w:pPr>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3.持续加强导师管理与服务工作力度。</w:t>
      </w:r>
      <w:r>
        <w:rPr>
          <w:rFonts w:ascii="仿宋_GB2312" w:hAnsi="宋体" w:eastAsia="仿宋_GB2312" w:cs="宋体"/>
          <w:sz w:val="28"/>
          <w:szCs w:val="28"/>
        </w:rPr>
        <w:t>研究生导师是研究生培养的第一责任人</w:t>
      </w:r>
      <w:r>
        <w:rPr>
          <w:rFonts w:hint="eastAsia" w:ascii="仿宋_GB2312" w:hAnsi="宋体" w:eastAsia="仿宋_GB2312" w:cs="宋体"/>
          <w:sz w:val="28"/>
          <w:szCs w:val="28"/>
        </w:rPr>
        <w:t>，开展以“四有导师”培训工作为代表的导师培训工作，</w:t>
      </w:r>
      <w:r>
        <w:rPr>
          <w:rFonts w:ascii="仿宋_GB2312" w:hAnsi="宋体" w:eastAsia="仿宋_GB2312" w:cs="宋体"/>
          <w:sz w:val="28"/>
          <w:szCs w:val="28"/>
        </w:rPr>
        <w:t>充分发挥其在育人育才方面的关键作用,为建设具有中国特色的研究生教育强国提供坚强支持。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EB410D-8630-4F70-BF7F-042DE3B372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D66FFBB-7CE8-4855-B69C-8CA0BEF8FB08}"/>
  </w:font>
  <w:font w:name="方正仿宋简体">
    <w:altName w:val="微软雅黑"/>
    <w:panose1 w:val="00000000000000000000"/>
    <w:charset w:val="86"/>
    <w:family w:val="script"/>
    <w:pitch w:val="default"/>
    <w:sig w:usb0="00000000" w:usb1="00000000" w:usb2="00000010" w:usb3="00000000" w:csb0="00040000" w:csb1="00000000"/>
    <w:embedRegular r:id="rId3" w:fontKey="{9D4DC187-364A-4CE3-B520-79077BB6032F}"/>
  </w:font>
  <w:font w:name="Arial">
    <w:panose1 w:val="020B0604020202020204"/>
    <w:charset w:val="00"/>
    <w:family w:val="swiss"/>
    <w:pitch w:val="default"/>
    <w:sig w:usb0="E0002EFF" w:usb1="C000785B" w:usb2="00000009" w:usb3="00000000" w:csb0="400001FF" w:csb1="FFFF0000"/>
  </w:font>
  <w:font w:name="方正小标宋简体">
    <w:altName w:val="方正舒体"/>
    <w:panose1 w:val="00000000000000000000"/>
    <w:charset w:val="86"/>
    <w:family w:val="script"/>
    <w:pitch w:val="default"/>
    <w:sig w:usb0="00000000" w:usb1="00000000" w:usb2="00000010" w:usb3="00000000" w:csb0="00040000" w:csb1="00000000"/>
    <w:embedRegular r:id="rId4" w:fontKey="{104BD4D4-9B6E-42A7-BCD2-134A86213B29}"/>
  </w:font>
  <w:font w:name="楷体_GB2312">
    <w:panose1 w:val="02010609030101010101"/>
    <w:charset w:val="86"/>
    <w:family w:val="modern"/>
    <w:pitch w:val="default"/>
    <w:sig w:usb0="00000001" w:usb1="080E0000" w:usb2="00000000" w:usb3="00000000" w:csb0="00040000" w:csb1="00000000"/>
    <w:embedRegular r:id="rId5" w:fontKey="{AAE92045-A8E0-4623-9145-8DB54BB7E56F}"/>
  </w:font>
  <w:font w:name="Segoe UI Symbol">
    <w:panose1 w:val="020B0502040204020203"/>
    <w:charset w:val="00"/>
    <w:family w:val="swiss"/>
    <w:pitch w:val="default"/>
    <w:sig w:usb0="800001E3" w:usb1="1200FFEF" w:usb2="00040000" w:usb3="04000000" w:csb0="00000001" w:csb1="40000000"/>
    <w:embedRegular r:id="rId6" w:fontKey="{A0B7D32B-4F6C-430A-B94E-425162793106}"/>
  </w:font>
  <w:font w:name="华文中宋">
    <w:panose1 w:val="02010600040101010101"/>
    <w:charset w:val="86"/>
    <w:family w:val="auto"/>
    <w:pitch w:val="default"/>
    <w:sig w:usb0="00000287" w:usb1="080F0000" w:usb2="00000000" w:usb3="00000000" w:csb0="0004009F" w:csb1="DFD70000"/>
    <w:embedRegular r:id="rId7" w:fontKey="{B829E961-2D29-42FE-9375-A8E12CD84D2E}"/>
  </w:font>
  <w:font w:name="仿宋_GB2312">
    <w:panose1 w:val="02010609030101010101"/>
    <w:charset w:val="86"/>
    <w:family w:val="modern"/>
    <w:pitch w:val="default"/>
    <w:sig w:usb0="00000001" w:usb1="080E0000" w:usb2="00000000" w:usb3="00000000" w:csb0="00040000" w:csb1="00000000"/>
    <w:embedRegular r:id="rId8" w:fontKey="{E0974FC1-4B99-4C83-8575-123E62E79C92}"/>
  </w:font>
  <w:font w:name="方正仿宋_GB2312">
    <w:panose1 w:val="02000000000000000000"/>
    <w:charset w:val="86"/>
    <w:family w:val="auto"/>
    <w:pitch w:val="default"/>
    <w:sig w:usb0="A00002BF" w:usb1="184F6CFA" w:usb2="00000012" w:usb3="00000000" w:csb0="00040001" w:csb1="00000000"/>
    <w:embedRegular r:id="rId9" w:fontKey="{7206C521-ABC4-401C-A406-7A8B75FCFA36}"/>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8C9A">
    <w:pPr>
      <w:pStyle w:val="2"/>
      <w:widowControl/>
      <w:textAlignment w:val="baseline"/>
      <w:rPr>
        <w:rStyle w:val="8"/>
        <w:rFonts w:ascii="Times New Roman" w:hAnsi="Times New Roman"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3A6A5">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163A6A5">
                    <w:pPr>
                      <w:pStyle w:val="2"/>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60DC2"/>
    <w:multiLevelType w:val="singleLevel"/>
    <w:tmpl w:val="BE560DC2"/>
    <w:lvl w:ilvl="0" w:tentative="0">
      <w:start w:val="2"/>
      <w:numFmt w:val="chineseCounting"/>
      <w:suff w:val="nothing"/>
      <w:lvlText w:val="（%1）"/>
      <w:lvlJc w:val="left"/>
      <w:rPr>
        <w:rFonts w:hint="eastAsia"/>
      </w:rPr>
    </w:lvl>
  </w:abstractNum>
  <w:abstractNum w:abstractNumId="1">
    <w:nsid w:val="EC50FF09"/>
    <w:multiLevelType w:val="singleLevel"/>
    <w:tmpl w:val="EC50FF09"/>
    <w:lvl w:ilvl="0" w:tentative="0">
      <w:start w:val="3"/>
      <w:numFmt w:val="chineseCounting"/>
      <w:suff w:val="nothing"/>
      <w:lvlText w:val="%1、"/>
      <w:lvlJc w:val="left"/>
      <w:rPr>
        <w:rFonts w:hint="eastAsia"/>
      </w:rPr>
    </w:lvl>
  </w:abstractNum>
  <w:abstractNum w:abstractNumId="2">
    <w:nsid w:val="F6CE02F8"/>
    <w:multiLevelType w:val="singleLevel"/>
    <w:tmpl w:val="F6CE02F8"/>
    <w:lvl w:ilvl="0" w:tentative="0">
      <w:start w:val="2"/>
      <w:numFmt w:val="chineseCounting"/>
      <w:suff w:val="nothing"/>
      <w:lvlText w:val="（%1）"/>
      <w:lvlJc w:val="left"/>
      <w:rPr>
        <w:rFonts w:hint="eastAsia"/>
      </w:rPr>
    </w:lvl>
  </w:abstractNum>
  <w:abstractNum w:abstractNumId="3">
    <w:nsid w:val="5BFB4F10"/>
    <w:multiLevelType w:val="singleLevel"/>
    <w:tmpl w:val="5BFB4F1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jQ5ZTE0MTYyNThkNzJhYTFjZThiNjdlMDI5ZjEifQ=="/>
  </w:docVars>
  <w:rsids>
    <w:rsidRoot w:val="39F63CBD"/>
    <w:rsid w:val="00085CFE"/>
    <w:rsid w:val="000E0637"/>
    <w:rsid w:val="001A26BE"/>
    <w:rsid w:val="00237488"/>
    <w:rsid w:val="00266FA4"/>
    <w:rsid w:val="002D6D46"/>
    <w:rsid w:val="002F3D96"/>
    <w:rsid w:val="00342BC4"/>
    <w:rsid w:val="00454730"/>
    <w:rsid w:val="00480199"/>
    <w:rsid w:val="004A5CC4"/>
    <w:rsid w:val="004E45E0"/>
    <w:rsid w:val="00534C9C"/>
    <w:rsid w:val="007720F4"/>
    <w:rsid w:val="007D0458"/>
    <w:rsid w:val="00862F2B"/>
    <w:rsid w:val="008A78FD"/>
    <w:rsid w:val="009109DA"/>
    <w:rsid w:val="0098212D"/>
    <w:rsid w:val="009E4CB6"/>
    <w:rsid w:val="00A05336"/>
    <w:rsid w:val="00A67EA4"/>
    <w:rsid w:val="00AA10EC"/>
    <w:rsid w:val="00B35E9A"/>
    <w:rsid w:val="00B43E6D"/>
    <w:rsid w:val="00BB11E4"/>
    <w:rsid w:val="00BD662E"/>
    <w:rsid w:val="00C2585A"/>
    <w:rsid w:val="00C42B18"/>
    <w:rsid w:val="00C65FC4"/>
    <w:rsid w:val="00C767FF"/>
    <w:rsid w:val="00C80E43"/>
    <w:rsid w:val="00C84C4D"/>
    <w:rsid w:val="00E16B91"/>
    <w:rsid w:val="00E32F63"/>
    <w:rsid w:val="00EB5814"/>
    <w:rsid w:val="00EF701F"/>
    <w:rsid w:val="00F21215"/>
    <w:rsid w:val="00F52BE3"/>
    <w:rsid w:val="00F67731"/>
    <w:rsid w:val="00FD594F"/>
    <w:rsid w:val="01C963F3"/>
    <w:rsid w:val="052E47BF"/>
    <w:rsid w:val="0765096C"/>
    <w:rsid w:val="077706A0"/>
    <w:rsid w:val="0A23425D"/>
    <w:rsid w:val="0D2D4B62"/>
    <w:rsid w:val="0D5F01B4"/>
    <w:rsid w:val="129723B8"/>
    <w:rsid w:val="15BD1BCA"/>
    <w:rsid w:val="170A508C"/>
    <w:rsid w:val="1C896A53"/>
    <w:rsid w:val="22405E06"/>
    <w:rsid w:val="26A548DF"/>
    <w:rsid w:val="27871DE1"/>
    <w:rsid w:val="31A663B7"/>
    <w:rsid w:val="327411B4"/>
    <w:rsid w:val="33E20B26"/>
    <w:rsid w:val="34000165"/>
    <w:rsid w:val="37FC6CA6"/>
    <w:rsid w:val="38713DFD"/>
    <w:rsid w:val="39F63CBD"/>
    <w:rsid w:val="3A930D78"/>
    <w:rsid w:val="3BE2277D"/>
    <w:rsid w:val="45034D45"/>
    <w:rsid w:val="471548BC"/>
    <w:rsid w:val="47F72214"/>
    <w:rsid w:val="50254BB1"/>
    <w:rsid w:val="553712CE"/>
    <w:rsid w:val="565F7902"/>
    <w:rsid w:val="577B4C0F"/>
    <w:rsid w:val="58E46F41"/>
    <w:rsid w:val="63B62ED2"/>
    <w:rsid w:val="66BC3A20"/>
    <w:rsid w:val="675B44A0"/>
    <w:rsid w:val="6A766A01"/>
    <w:rsid w:val="71897E21"/>
    <w:rsid w:val="727501DA"/>
    <w:rsid w:val="72FC67AC"/>
    <w:rsid w:val="76D4359C"/>
    <w:rsid w:val="76DD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ascii="Times New Roman" w:hAnsi="Times New Roman" w:eastAsia="宋体" w:cs="Times New Roman"/>
      <w:kern w:val="0"/>
      <w:sz w:val="24"/>
      <w:szCs w:val="20"/>
    </w:rPr>
  </w:style>
  <w:style w:type="character" w:styleId="6">
    <w:name w:val="Emphasis"/>
    <w:basedOn w:val="5"/>
    <w:qFormat/>
    <w:uiPriority w:val="20"/>
    <w:rPr>
      <w:i/>
      <w:iCs/>
    </w:rPr>
  </w:style>
  <w:style w:type="character" w:customStyle="1" w:styleId="7">
    <w:name w:val="页脚 字符"/>
    <w:basedOn w:val="5"/>
    <w:link w:val="2"/>
    <w:autoRedefine/>
    <w:qFormat/>
    <w:uiPriority w:val="0"/>
    <w:rPr>
      <w:rFonts w:asciiTheme="minorHAnsi" w:hAnsiTheme="minorHAnsi" w:eastAsiaTheme="minorEastAsia" w:cstheme="minorBidi"/>
      <w:kern w:val="2"/>
      <w:sz w:val="18"/>
      <w:szCs w:val="18"/>
    </w:rPr>
  </w:style>
  <w:style w:type="character" w:customStyle="1" w:styleId="8">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9">
    <w:name w:val="Heading3"/>
    <w:basedOn w:val="1"/>
    <w:next w:val="1"/>
    <w:qFormat/>
    <w:uiPriority w:val="0"/>
    <w:pPr>
      <w:spacing w:line="600" w:lineRule="exact"/>
      <w:ind w:firstLine="640" w:firstLineChars="200"/>
      <w:textAlignment w:val="baseline"/>
    </w:pPr>
    <w:rPr>
      <w:rFonts w:ascii="黑体" w:hAnsi="黑体" w:eastAsia="黑体"/>
      <w:color w:val="000000"/>
      <w:sz w:val="32"/>
      <w:szCs w:val="32"/>
    </w:rPr>
  </w:style>
  <w:style w:type="character" w:customStyle="1" w:styleId="10">
    <w:name w:val="font41"/>
    <w:basedOn w:val="5"/>
    <w:qFormat/>
    <w:uiPriority w:val="0"/>
    <w:rPr>
      <w:rFonts w:hint="default" w:ascii="Arial" w:hAnsi="Arial" w:cs="Arial"/>
      <w:color w:val="000000"/>
      <w:sz w:val="20"/>
      <w:szCs w:val="20"/>
      <w:u w:val="none"/>
    </w:rPr>
  </w:style>
  <w:style w:type="character" w:customStyle="1" w:styleId="11">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EFDE9-A2FA-47DE-94F2-C94E00507CE5}">
  <ds:schemaRefs/>
</ds:datastoreItem>
</file>

<file path=docProps/app.xml><?xml version="1.0" encoding="utf-8"?>
<Properties xmlns="http://schemas.openxmlformats.org/officeDocument/2006/extended-properties" xmlns:vt="http://schemas.openxmlformats.org/officeDocument/2006/docPropsVTypes">
  <Template>Normal.dotm</Template>
  <Company>ICOS</Company>
  <Pages>12</Pages>
  <Words>6544</Words>
  <Characters>6906</Characters>
  <Lines>51</Lines>
  <Paragraphs>14</Paragraphs>
  <TotalTime>48</TotalTime>
  <ScaleCrop>false</ScaleCrop>
  <LinksUpToDate>false</LinksUpToDate>
  <CharactersWithSpaces>6929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2022-07-05T02:29:00Z</dcterms:created>
  <dc:creator>刘倩倩</dc:creator>
  <cp:lastModifiedBy>嘉优</cp:lastModifiedBy>
  <dcterms:modified xsi:type="dcterms:W3CDTF">2024-11-12T01:59:03Z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3D0607CE64BD47DB8CD93FF6ADF2859B_13</vt:lpwstr>
  </property>
</Properties>
</file>